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3D" w:rsidRPr="000C2E3D" w:rsidRDefault="009C39A0" w:rsidP="002E6764">
      <w:pPr>
        <w:jc w:val="center"/>
        <w:rPr>
          <w:b/>
          <w:sz w:val="32"/>
          <w:szCs w:val="32"/>
        </w:rPr>
      </w:pPr>
      <w:r>
        <w:rPr>
          <w:b/>
          <w:sz w:val="32"/>
          <w:szCs w:val="32"/>
        </w:rPr>
        <w:t xml:space="preserve">Using the </w:t>
      </w:r>
      <w:r w:rsidR="000C2E3D">
        <w:rPr>
          <w:b/>
          <w:sz w:val="32"/>
          <w:szCs w:val="32"/>
        </w:rPr>
        <w:t>BOT</w:t>
      </w:r>
      <w:r>
        <w:rPr>
          <w:b/>
          <w:sz w:val="32"/>
          <w:szCs w:val="32"/>
        </w:rPr>
        <w:t xml:space="preserve">-TARGET for </w:t>
      </w:r>
      <w:r w:rsidR="000C2E3D" w:rsidRPr="000C2E3D">
        <w:rPr>
          <w:b/>
          <w:sz w:val="32"/>
          <w:szCs w:val="32"/>
        </w:rPr>
        <w:t>Testing</w:t>
      </w:r>
    </w:p>
    <w:p w:rsidR="00A57016" w:rsidRDefault="00A57016" w:rsidP="000C2E3D">
      <w:pPr>
        <w:jc w:val="left"/>
      </w:pPr>
      <w:r>
        <w:t>To facilitate testing of the BOT, we have created a special target to allow the tester to define what the magnitude and spectral type of the star is. When this target is used in an exposure, BOT does NOT search the GSC2/GALEX/2MASS catalog for field stars, but instead reads the magnitude information in the OTHER FLUXES field to define the star to be processed. This document describes these special targets for each catalog BOT searches.</w:t>
      </w:r>
    </w:p>
    <w:p w:rsidR="000C2E3D" w:rsidRDefault="00A57016" w:rsidP="00014931">
      <w:pPr>
        <w:pStyle w:val="Heading1"/>
      </w:pPr>
      <w:r>
        <w:t>GSC2 Catalog</w:t>
      </w:r>
    </w:p>
    <w:p w:rsidR="00A57016" w:rsidRDefault="00A57016" w:rsidP="00A57016">
      <w:pPr>
        <w:jc w:val="left"/>
      </w:pPr>
      <w:r>
        <w:t xml:space="preserve">For the GSC2 catalog, the name of the target must be </w:t>
      </w:r>
      <w:r w:rsidRPr="00A57016">
        <w:rPr>
          <w:b/>
        </w:rPr>
        <w:t>BOT-TARGET-GSC2*</w:t>
      </w:r>
      <w:r>
        <w:t xml:space="preserve">, where you can replace the * with anything (e.g. </w:t>
      </w:r>
      <w:r w:rsidRPr="00A57016">
        <w:rPr>
          <w:b/>
        </w:rPr>
        <w:t>BOT-TARGET-GSC2-1</w:t>
      </w:r>
      <w:r>
        <w:t>). It does not matter what you insert for the coordinates</w:t>
      </w:r>
      <w:r w:rsidR="00440123">
        <w:t xml:space="preserve"> (but you must insert something)</w:t>
      </w:r>
      <w:r w:rsidR="002E6764">
        <w:t xml:space="preserve"> or the coordinate uncertainties (these are only required for COS, and if you don’t include them you can ignore the APT diagnostic)</w:t>
      </w:r>
      <w:r>
        <w:t>, since the GSC2 catalog is not being search</w:t>
      </w:r>
      <w:r w:rsidR="002E6764">
        <w:t>ed</w:t>
      </w:r>
      <w:r>
        <w:t>, nor does the V magnitude matter</w:t>
      </w:r>
      <w:r w:rsidR="00440123">
        <w:t xml:space="preserve"> (this does not need to be specified</w:t>
      </w:r>
      <w:r w:rsidR="002E6764">
        <w:t>, and you can ignore the APT diagnostic that you get if you do not specify it</w:t>
      </w:r>
      <w:r w:rsidR="00440123">
        <w:t>)</w:t>
      </w:r>
      <w:r>
        <w:t>. The OTHER FLUXES field is used to provide the magnitude using one of the following formats.</w:t>
      </w:r>
    </w:p>
    <w:p w:rsidR="00A57016" w:rsidRPr="00014931" w:rsidRDefault="00A57016" w:rsidP="00A57016">
      <w:pPr>
        <w:pStyle w:val="Heading2"/>
      </w:pPr>
      <w:r>
        <w:t>Bright Stars</w:t>
      </w:r>
    </w:p>
    <w:p w:rsidR="00A57016" w:rsidRDefault="00A57016" w:rsidP="00A57016">
      <w:pPr>
        <w:jc w:val="left"/>
      </w:pPr>
      <w:r>
        <w:t>If you want to check a bright star (V&lt;12)</w:t>
      </w:r>
      <w:r w:rsidR="004F1741">
        <w:t>, then you can specify the V and B-V with the format:</w:t>
      </w:r>
    </w:p>
    <w:p w:rsidR="004F1741" w:rsidRDefault="004F1741" w:rsidP="00A57016">
      <w:pPr>
        <w:jc w:val="left"/>
      </w:pPr>
      <w:r>
        <w:t>V = XX.X, BV=X.XX</w:t>
      </w:r>
    </w:p>
    <w:p w:rsidR="004F1741" w:rsidRDefault="002E6764" w:rsidP="00A57016">
      <w:pPr>
        <w:jc w:val="left"/>
      </w:pPr>
      <w:r>
        <w:t>For example, V=10</w:t>
      </w:r>
      <w:r w:rsidR="004F1741">
        <w:t>.4, BV=-0.1. Note that you can also specify a</w:t>
      </w:r>
      <w:r w:rsidR="0099331D">
        <w:t>n</w:t>
      </w:r>
      <w:r w:rsidR="004F1741">
        <w:t xml:space="preserve"> error for both values (</w:t>
      </w:r>
      <w:proofErr w:type="spellStart"/>
      <w:r w:rsidR="004F1741">
        <w:t>VError</w:t>
      </w:r>
      <w:proofErr w:type="spellEnd"/>
      <w:r w:rsidR="004F1741">
        <w:t xml:space="preserve"> and </w:t>
      </w:r>
      <w:proofErr w:type="spellStart"/>
      <w:r w:rsidR="004F1741">
        <w:t>BVError</w:t>
      </w:r>
      <w:proofErr w:type="spellEnd"/>
      <w:r w:rsidR="004F1741">
        <w:t>), but these are not used by BOT. Note</w:t>
      </w:r>
      <w:r w:rsidR="00021CE6">
        <w:t xml:space="preserve"> that if you insert a V magnitude of 12.0 or fainter, BOT will ignore the value (just like it does if you searched the GSC2 catalog).</w:t>
      </w:r>
    </w:p>
    <w:p w:rsidR="0099331D" w:rsidRPr="00014931" w:rsidRDefault="0099331D" w:rsidP="0099331D">
      <w:pPr>
        <w:pStyle w:val="Heading2"/>
      </w:pPr>
      <w:r>
        <w:t>Faint Stars</w:t>
      </w:r>
    </w:p>
    <w:p w:rsidR="0099331D" w:rsidRDefault="0099331D" w:rsidP="00A57016">
      <w:pPr>
        <w:jc w:val="left"/>
      </w:pPr>
      <w:r>
        <w:t>If you want to check a faint star, then you can specify the GSC2 F and J magnitudes with the format:</w:t>
      </w:r>
    </w:p>
    <w:p w:rsidR="0099331D" w:rsidRDefault="0099331D" w:rsidP="00A57016">
      <w:pPr>
        <w:jc w:val="left"/>
      </w:pPr>
      <w:proofErr w:type="spellStart"/>
      <w:r>
        <w:t>Fpg</w:t>
      </w:r>
      <w:proofErr w:type="spellEnd"/>
      <w:r>
        <w:t>=XX.X, Jpg=XX.X</w:t>
      </w:r>
    </w:p>
    <w:p w:rsidR="000E3F8F" w:rsidRDefault="0099331D" w:rsidP="000E3F8F">
      <w:pPr>
        <w:jc w:val="left"/>
      </w:pPr>
      <w:r>
        <w:t xml:space="preserve">For example, </w:t>
      </w:r>
      <w:proofErr w:type="spellStart"/>
      <w:r>
        <w:t>Fpg</w:t>
      </w:r>
      <w:proofErr w:type="spellEnd"/>
      <w:r>
        <w:t xml:space="preserve">=16.7, Jpg=17.0. </w:t>
      </w:r>
      <w:r w:rsidR="00440123">
        <w:t>Y</w:t>
      </w:r>
      <w:r>
        <w:t>ou can also specify an error for both values</w:t>
      </w:r>
      <w:r w:rsidR="003856D1">
        <w:t xml:space="preserve"> (</w:t>
      </w:r>
      <w:proofErr w:type="spellStart"/>
      <w:r w:rsidR="003856D1">
        <w:t>FpgError</w:t>
      </w:r>
      <w:proofErr w:type="spellEnd"/>
      <w:r w:rsidR="003856D1">
        <w:t xml:space="preserve"> and </w:t>
      </w:r>
      <w:proofErr w:type="spellStart"/>
      <w:r w:rsidR="003856D1">
        <w:t>JpgError</w:t>
      </w:r>
      <w:proofErr w:type="spellEnd"/>
      <w:r w:rsidR="003856D1">
        <w:t>), and these values are used by BOT to adjust the magnitude and color (for large errors).</w:t>
      </w:r>
      <w:r w:rsidR="00440123">
        <w:t xml:space="preserve"> </w:t>
      </w:r>
      <w:r>
        <w:t xml:space="preserve">Note that you cannot supply just one magnitude and have BOT </w:t>
      </w:r>
      <w:proofErr w:type="gramStart"/>
      <w:r>
        <w:t>assume</w:t>
      </w:r>
      <w:proofErr w:type="gramEnd"/>
      <w:r>
        <w:t xml:space="preserve"> the other (as it does for catalog searches)</w:t>
      </w:r>
      <w:r w:rsidR="00440123">
        <w:t>. The V magnitude and B-V color are derived from the F and J magnitudes via the following equations (see the BOT detector documents):</w:t>
      </w:r>
    </w:p>
    <w:p w:rsidR="000E3F8F" w:rsidRDefault="000E3F8F" w:rsidP="000E3F8F">
      <w:pPr>
        <w:jc w:val="left"/>
        <w:rPr>
          <w:rFonts w:eastAsia="Calibri" w:cs="Times New Roman"/>
        </w:rPr>
      </w:pPr>
      <w:r>
        <w:rPr>
          <w:rFonts w:eastAsia="Calibri" w:cs="Times New Roman"/>
          <w:b/>
        </w:rPr>
        <w:t>V</w:t>
      </w:r>
      <w:r>
        <w:rPr>
          <w:rFonts w:eastAsia="Calibri" w:cs="Times New Roman"/>
        </w:rPr>
        <w:t xml:space="preserve"> = </w:t>
      </w:r>
      <w:r>
        <w:rPr>
          <w:rFonts w:eastAsia="Calibri" w:cs="Times New Roman"/>
          <w:b/>
        </w:rPr>
        <w:t xml:space="preserve">F </w:t>
      </w:r>
      <w:r>
        <w:rPr>
          <w:rFonts w:eastAsia="Calibri" w:cs="Times New Roman"/>
        </w:rPr>
        <w:t>+ 0.03 + 0.44*(</w:t>
      </w:r>
      <w:r>
        <w:rPr>
          <w:rFonts w:eastAsia="Calibri" w:cs="Times New Roman"/>
          <w:b/>
        </w:rPr>
        <w:t>J</w:t>
      </w:r>
      <w:r>
        <w:rPr>
          <w:rFonts w:eastAsia="Calibri" w:cs="Times New Roman"/>
        </w:rPr>
        <w:t>-</w:t>
      </w:r>
      <w:r>
        <w:rPr>
          <w:rFonts w:eastAsia="Calibri" w:cs="Times New Roman"/>
          <w:b/>
        </w:rPr>
        <w:t>F</w:t>
      </w:r>
      <w:r>
        <w:rPr>
          <w:rFonts w:eastAsia="Calibri" w:cs="Times New Roman"/>
        </w:rPr>
        <w:t>) - 0.03*(</w:t>
      </w:r>
      <w:r>
        <w:rPr>
          <w:rFonts w:eastAsia="Calibri" w:cs="Times New Roman"/>
          <w:b/>
        </w:rPr>
        <w:t>J</w:t>
      </w:r>
      <w:r>
        <w:rPr>
          <w:rFonts w:eastAsia="Calibri" w:cs="Times New Roman"/>
        </w:rPr>
        <w:t>-</w:t>
      </w:r>
      <w:r>
        <w:rPr>
          <w:rFonts w:eastAsia="Calibri" w:cs="Times New Roman"/>
          <w:b/>
        </w:rPr>
        <w:t>F</w:t>
      </w:r>
      <w:proofErr w:type="gramStart"/>
      <w:r>
        <w:rPr>
          <w:rFonts w:eastAsia="Calibri" w:cs="Times New Roman"/>
        </w:rPr>
        <w:t>)</w:t>
      </w:r>
      <w:r>
        <w:rPr>
          <w:rFonts w:eastAsia="Calibri" w:cs="Times New Roman"/>
          <w:vertAlign w:val="superscript"/>
        </w:rPr>
        <w:t>2</w:t>
      </w:r>
      <w:proofErr w:type="gramEnd"/>
      <w:r>
        <w:rPr>
          <w:rFonts w:eastAsia="Calibri" w:cs="Times New Roman"/>
        </w:rPr>
        <w:t xml:space="preserve"> + 0.02*(</w:t>
      </w:r>
      <w:r>
        <w:rPr>
          <w:rFonts w:eastAsia="Calibri" w:cs="Times New Roman"/>
          <w:b/>
        </w:rPr>
        <w:t>J</w:t>
      </w:r>
      <w:r>
        <w:rPr>
          <w:rFonts w:eastAsia="Calibri" w:cs="Times New Roman"/>
        </w:rPr>
        <w:t>-</w:t>
      </w:r>
      <w:r>
        <w:rPr>
          <w:rFonts w:eastAsia="Calibri" w:cs="Times New Roman"/>
          <w:b/>
        </w:rPr>
        <w:t>F</w:t>
      </w:r>
      <w:r>
        <w:rPr>
          <w:rFonts w:eastAsia="Calibri" w:cs="Times New Roman"/>
        </w:rPr>
        <w:t>)</w:t>
      </w:r>
      <w:r>
        <w:rPr>
          <w:rFonts w:eastAsia="Calibri" w:cs="Times New Roman"/>
          <w:vertAlign w:val="superscript"/>
        </w:rPr>
        <w:t>3</w:t>
      </w:r>
    </w:p>
    <w:p w:rsidR="000E3F8F" w:rsidRDefault="000E3F8F" w:rsidP="000E3F8F">
      <w:pPr>
        <w:pStyle w:val="BodyEquation"/>
        <w:widowControl w:val="0"/>
        <w:spacing w:before="0" w:line="280" w:lineRule="atLeast"/>
        <w:ind w:left="0"/>
      </w:pPr>
      <w:r>
        <w:rPr>
          <w:b/>
        </w:rPr>
        <w:t xml:space="preserve">B-V </w:t>
      </w:r>
      <w:r>
        <w:t>= 0.158 + 0.665*(</w:t>
      </w:r>
      <w:r>
        <w:rPr>
          <w:b/>
        </w:rPr>
        <w:t>J</w:t>
      </w:r>
      <w:r>
        <w:t>-</w:t>
      </w:r>
      <w:r>
        <w:rPr>
          <w:b/>
        </w:rPr>
        <w:t>F</w:t>
      </w:r>
      <w:r>
        <w:t>)</w:t>
      </w:r>
    </w:p>
    <w:p w:rsidR="005A2B8A" w:rsidRDefault="005A2B8A" w:rsidP="005A2B8A">
      <w:pPr>
        <w:pStyle w:val="Heading2"/>
      </w:pPr>
      <w:r>
        <w:lastRenderedPageBreak/>
        <w:t>Conversion to Spectral Type</w:t>
      </w:r>
    </w:p>
    <w:p w:rsidR="005A2B8A" w:rsidRDefault="005A2B8A" w:rsidP="005A2B8A">
      <w:pPr>
        <w:jc w:val="left"/>
      </w:pPr>
      <w:r>
        <w:t>As specified in the BOT detector documents, the B-V color is used to determine the spectral type of the star via the following table:</w:t>
      </w:r>
    </w:p>
    <w:p w:rsidR="005A2B8A" w:rsidRDefault="005A2B8A" w:rsidP="005A2B8A">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353"/>
        <w:gridCol w:w="1353"/>
        <w:gridCol w:w="1353"/>
        <w:gridCol w:w="1353"/>
      </w:tblGrid>
      <w:tr w:rsidR="005A2B8A" w:rsidTr="002C6DCF">
        <w:trPr>
          <w:jc w:val="center"/>
        </w:trPr>
        <w:tc>
          <w:tcPr>
            <w:tcW w:w="1353" w:type="dxa"/>
          </w:tcPr>
          <w:p w:rsidR="005A2B8A" w:rsidRDefault="005A2B8A" w:rsidP="002C6DCF">
            <w:pPr>
              <w:pStyle w:val="TableColHeadCenter"/>
              <w:widowControl w:val="0"/>
              <w:spacing w:line="280" w:lineRule="atLeast"/>
            </w:pPr>
            <w:r>
              <w:t>B-V</w:t>
            </w:r>
          </w:p>
        </w:tc>
        <w:tc>
          <w:tcPr>
            <w:tcW w:w="1353" w:type="dxa"/>
          </w:tcPr>
          <w:p w:rsidR="005A2B8A" w:rsidRDefault="005A2B8A" w:rsidP="002C6DCF">
            <w:pPr>
              <w:pStyle w:val="TableColHeadCenter"/>
              <w:widowControl w:val="0"/>
              <w:spacing w:line="280" w:lineRule="atLeast"/>
            </w:pPr>
            <w:r>
              <w:t>Spectral Type</w:t>
            </w:r>
          </w:p>
        </w:tc>
        <w:tc>
          <w:tcPr>
            <w:tcW w:w="1353" w:type="dxa"/>
          </w:tcPr>
          <w:p w:rsidR="005A2B8A" w:rsidRDefault="005A2B8A" w:rsidP="002C6DCF">
            <w:pPr>
              <w:pStyle w:val="TableColHeadCenter"/>
              <w:widowControl w:val="0"/>
              <w:spacing w:line="280" w:lineRule="atLeast"/>
            </w:pPr>
            <w:r>
              <w:t>B-V</w:t>
            </w:r>
          </w:p>
        </w:tc>
        <w:tc>
          <w:tcPr>
            <w:tcW w:w="1353" w:type="dxa"/>
          </w:tcPr>
          <w:p w:rsidR="005A2B8A" w:rsidRDefault="005A2B8A" w:rsidP="002C6DCF">
            <w:pPr>
              <w:pStyle w:val="TableColHeadCenter"/>
              <w:widowControl w:val="0"/>
              <w:spacing w:line="280" w:lineRule="atLeast"/>
            </w:pPr>
            <w:r>
              <w:t>Spectral Type</w:t>
            </w:r>
          </w:p>
        </w:tc>
      </w:tr>
      <w:tr w:rsidR="005A2B8A" w:rsidTr="002C6DCF">
        <w:trPr>
          <w:jc w:val="center"/>
        </w:trPr>
        <w:tc>
          <w:tcPr>
            <w:tcW w:w="1353" w:type="dxa"/>
          </w:tcPr>
          <w:p w:rsidR="005A2B8A" w:rsidRDefault="005A2B8A" w:rsidP="002C6DCF">
            <w:pPr>
              <w:pStyle w:val="TableCellCenter"/>
              <w:widowControl w:val="0"/>
              <w:spacing w:line="280" w:lineRule="atLeast"/>
            </w:pPr>
            <w:r>
              <w:t>-0.32</w:t>
            </w:r>
          </w:p>
        </w:tc>
        <w:tc>
          <w:tcPr>
            <w:tcW w:w="1353" w:type="dxa"/>
          </w:tcPr>
          <w:p w:rsidR="005A2B8A" w:rsidRDefault="005A2B8A" w:rsidP="002C6DCF">
            <w:pPr>
              <w:pStyle w:val="TableCellCenter"/>
              <w:widowControl w:val="0"/>
              <w:spacing w:line="280" w:lineRule="atLeast"/>
            </w:pPr>
            <w:r>
              <w:t>O5</w:t>
            </w:r>
          </w:p>
        </w:tc>
        <w:tc>
          <w:tcPr>
            <w:tcW w:w="1353" w:type="dxa"/>
          </w:tcPr>
          <w:p w:rsidR="005A2B8A" w:rsidRDefault="005A2B8A" w:rsidP="002C6DCF">
            <w:pPr>
              <w:pStyle w:val="TableCellCenter"/>
              <w:widowControl w:val="0"/>
              <w:spacing w:line="280" w:lineRule="atLeast"/>
            </w:pPr>
            <w:r>
              <w:t>-0.24</w:t>
            </w:r>
          </w:p>
        </w:tc>
        <w:tc>
          <w:tcPr>
            <w:tcW w:w="1353" w:type="dxa"/>
          </w:tcPr>
          <w:p w:rsidR="005A2B8A" w:rsidRDefault="005A2B8A" w:rsidP="002C6DCF">
            <w:pPr>
              <w:pStyle w:val="TableCellCenter"/>
              <w:widowControl w:val="0"/>
              <w:spacing w:line="280" w:lineRule="atLeast"/>
            </w:pPr>
            <w:r>
              <w:t>B1</w:t>
            </w:r>
          </w:p>
        </w:tc>
      </w:tr>
      <w:tr w:rsidR="005A2B8A" w:rsidTr="002C6DCF">
        <w:trPr>
          <w:jc w:val="center"/>
        </w:trPr>
        <w:tc>
          <w:tcPr>
            <w:tcW w:w="1353" w:type="dxa"/>
          </w:tcPr>
          <w:p w:rsidR="005A2B8A" w:rsidRDefault="005A2B8A" w:rsidP="002C6DCF">
            <w:pPr>
              <w:pStyle w:val="TableCellCenter"/>
              <w:widowControl w:val="0"/>
              <w:spacing w:line="280" w:lineRule="atLeast"/>
            </w:pPr>
            <w:r>
              <w:t>-0.14</w:t>
            </w:r>
          </w:p>
        </w:tc>
        <w:tc>
          <w:tcPr>
            <w:tcW w:w="1353" w:type="dxa"/>
          </w:tcPr>
          <w:p w:rsidR="005A2B8A" w:rsidRDefault="005A2B8A" w:rsidP="002C6DCF">
            <w:pPr>
              <w:pStyle w:val="TableCellCenter"/>
              <w:widowControl w:val="0"/>
              <w:spacing w:line="280" w:lineRule="atLeast"/>
            </w:pPr>
            <w:r>
              <w:t>B5</w:t>
            </w:r>
          </w:p>
        </w:tc>
        <w:tc>
          <w:tcPr>
            <w:tcW w:w="1353" w:type="dxa"/>
          </w:tcPr>
          <w:p w:rsidR="005A2B8A" w:rsidRDefault="005A2B8A" w:rsidP="002C6DCF">
            <w:pPr>
              <w:pStyle w:val="TableCellCenter"/>
              <w:widowControl w:val="0"/>
              <w:spacing w:line="280" w:lineRule="atLeast"/>
            </w:pPr>
            <w:r>
              <w:t>+0.03</w:t>
            </w:r>
          </w:p>
        </w:tc>
        <w:tc>
          <w:tcPr>
            <w:tcW w:w="1353" w:type="dxa"/>
          </w:tcPr>
          <w:p w:rsidR="005A2B8A" w:rsidRDefault="005A2B8A" w:rsidP="002C6DCF">
            <w:pPr>
              <w:pStyle w:val="TableCellCenter"/>
              <w:widowControl w:val="0"/>
              <w:spacing w:line="280" w:lineRule="atLeast"/>
            </w:pPr>
            <w:r>
              <w:t>A1</w:t>
            </w:r>
          </w:p>
        </w:tc>
      </w:tr>
      <w:tr w:rsidR="005A2B8A" w:rsidTr="002C6DCF">
        <w:trPr>
          <w:jc w:val="center"/>
        </w:trPr>
        <w:tc>
          <w:tcPr>
            <w:tcW w:w="1353" w:type="dxa"/>
          </w:tcPr>
          <w:p w:rsidR="005A2B8A" w:rsidRDefault="005A2B8A" w:rsidP="002C6DCF">
            <w:pPr>
              <w:pStyle w:val="TableCellCenter"/>
              <w:widowControl w:val="0"/>
              <w:spacing w:line="280" w:lineRule="atLeast"/>
            </w:pPr>
            <w:r>
              <w:t>+0.14</w:t>
            </w:r>
          </w:p>
        </w:tc>
        <w:tc>
          <w:tcPr>
            <w:tcW w:w="1353" w:type="dxa"/>
          </w:tcPr>
          <w:p w:rsidR="005A2B8A" w:rsidRDefault="005A2B8A" w:rsidP="002C6DCF">
            <w:pPr>
              <w:pStyle w:val="TableCellCenter"/>
              <w:widowControl w:val="0"/>
              <w:spacing w:line="280" w:lineRule="atLeast"/>
            </w:pPr>
            <w:r>
              <w:t>A5</w:t>
            </w:r>
          </w:p>
        </w:tc>
        <w:tc>
          <w:tcPr>
            <w:tcW w:w="1353" w:type="dxa"/>
          </w:tcPr>
          <w:p w:rsidR="005A2B8A" w:rsidRDefault="005A2B8A" w:rsidP="002C6DCF">
            <w:pPr>
              <w:pStyle w:val="TableCellCenter"/>
              <w:widowControl w:val="0"/>
              <w:spacing w:line="280" w:lineRule="atLeast"/>
            </w:pPr>
            <w:r>
              <w:t>+0.31</w:t>
            </w:r>
          </w:p>
        </w:tc>
        <w:tc>
          <w:tcPr>
            <w:tcW w:w="1353" w:type="dxa"/>
          </w:tcPr>
          <w:p w:rsidR="005A2B8A" w:rsidRDefault="005A2B8A" w:rsidP="002C6DCF">
            <w:pPr>
              <w:pStyle w:val="TableCellCenter"/>
              <w:widowControl w:val="0"/>
              <w:spacing w:line="280" w:lineRule="atLeast"/>
            </w:pPr>
            <w:r>
              <w:t>F0</w:t>
            </w:r>
          </w:p>
        </w:tc>
      </w:tr>
      <w:tr w:rsidR="005A2B8A" w:rsidTr="002C6DCF">
        <w:trPr>
          <w:jc w:val="center"/>
        </w:trPr>
        <w:tc>
          <w:tcPr>
            <w:tcW w:w="1353" w:type="dxa"/>
          </w:tcPr>
          <w:p w:rsidR="005A2B8A" w:rsidRDefault="005A2B8A" w:rsidP="002C6DCF">
            <w:pPr>
              <w:pStyle w:val="TableCellCenter"/>
              <w:widowControl w:val="0"/>
              <w:spacing w:line="280" w:lineRule="atLeast"/>
            </w:pPr>
            <w:r>
              <w:t>+0.43</w:t>
            </w:r>
          </w:p>
        </w:tc>
        <w:tc>
          <w:tcPr>
            <w:tcW w:w="1353" w:type="dxa"/>
          </w:tcPr>
          <w:p w:rsidR="005A2B8A" w:rsidRDefault="005A2B8A" w:rsidP="002C6DCF">
            <w:pPr>
              <w:pStyle w:val="TableCellCenter"/>
              <w:widowControl w:val="0"/>
              <w:spacing w:line="280" w:lineRule="atLeast"/>
            </w:pPr>
            <w:r>
              <w:t>F5</w:t>
            </w:r>
          </w:p>
        </w:tc>
        <w:tc>
          <w:tcPr>
            <w:tcW w:w="1353" w:type="dxa"/>
          </w:tcPr>
          <w:p w:rsidR="005A2B8A" w:rsidRDefault="005A2B8A" w:rsidP="002C6DCF">
            <w:pPr>
              <w:pStyle w:val="TableCellCenter"/>
              <w:widowControl w:val="0"/>
              <w:spacing w:line="280" w:lineRule="atLeast"/>
            </w:pPr>
            <w:r>
              <w:t>+0.63</w:t>
            </w:r>
          </w:p>
        </w:tc>
        <w:tc>
          <w:tcPr>
            <w:tcW w:w="1353" w:type="dxa"/>
          </w:tcPr>
          <w:p w:rsidR="005A2B8A" w:rsidRDefault="005A2B8A" w:rsidP="002C6DCF">
            <w:pPr>
              <w:pStyle w:val="TableCellCenter"/>
              <w:widowControl w:val="0"/>
              <w:spacing w:line="280" w:lineRule="atLeast"/>
            </w:pPr>
            <w:r>
              <w:t>G2</w:t>
            </w:r>
          </w:p>
        </w:tc>
      </w:tr>
      <w:tr w:rsidR="005A2B8A" w:rsidTr="002C6DCF">
        <w:trPr>
          <w:jc w:val="center"/>
        </w:trPr>
        <w:tc>
          <w:tcPr>
            <w:tcW w:w="1353" w:type="dxa"/>
          </w:tcPr>
          <w:p w:rsidR="005A2B8A" w:rsidRDefault="005A2B8A" w:rsidP="002C6DCF">
            <w:pPr>
              <w:pStyle w:val="TableCellCenter"/>
              <w:widowControl w:val="0"/>
              <w:spacing w:line="280" w:lineRule="atLeast"/>
            </w:pPr>
            <w:r>
              <w:t>+0.66</w:t>
            </w:r>
          </w:p>
        </w:tc>
        <w:tc>
          <w:tcPr>
            <w:tcW w:w="1353" w:type="dxa"/>
          </w:tcPr>
          <w:p w:rsidR="005A2B8A" w:rsidRDefault="005A2B8A" w:rsidP="002C6DCF">
            <w:pPr>
              <w:pStyle w:val="TableCellCenter"/>
              <w:widowControl w:val="0"/>
              <w:spacing w:line="280" w:lineRule="atLeast"/>
            </w:pPr>
            <w:r>
              <w:t>G5</w:t>
            </w:r>
          </w:p>
        </w:tc>
        <w:tc>
          <w:tcPr>
            <w:tcW w:w="1353" w:type="dxa"/>
          </w:tcPr>
          <w:p w:rsidR="005A2B8A" w:rsidRDefault="005A2B8A" w:rsidP="002C6DCF">
            <w:pPr>
              <w:pStyle w:val="TableCellCenter"/>
              <w:widowControl w:val="0"/>
              <w:spacing w:line="280" w:lineRule="atLeast"/>
            </w:pPr>
            <w:r>
              <w:t>+0.82</w:t>
            </w:r>
          </w:p>
        </w:tc>
        <w:tc>
          <w:tcPr>
            <w:tcW w:w="1353" w:type="dxa"/>
          </w:tcPr>
          <w:p w:rsidR="005A2B8A" w:rsidRDefault="005A2B8A" w:rsidP="002C6DCF">
            <w:pPr>
              <w:pStyle w:val="TableCellCenter"/>
              <w:widowControl w:val="0"/>
              <w:spacing w:line="280" w:lineRule="atLeast"/>
            </w:pPr>
            <w:r>
              <w:t>K0</w:t>
            </w:r>
          </w:p>
        </w:tc>
      </w:tr>
      <w:tr w:rsidR="005A2B8A" w:rsidTr="002C6DCF">
        <w:trPr>
          <w:jc w:val="center"/>
        </w:trPr>
        <w:tc>
          <w:tcPr>
            <w:tcW w:w="1353" w:type="dxa"/>
          </w:tcPr>
          <w:p w:rsidR="005A2B8A" w:rsidRDefault="005A2B8A" w:rsidP="002C6DCF">
            <w:pPr>
              <w:pStyle w:val="TableCellCenter"/>
              <w:widowControl w:val="0"/>
              <w:spacing w:line="280" w:lineRule="atLeast"/>
            </w:pPr>
            <w:r>
              <w:t>+1.15</w:t>
            </w:r>
          </w:p>
        </w:tc>
        <w:tc>
          <w:tcPr>
            <w:tcW w:w="1353" w:type="dxa"/>
          </w:tcPr>
          <w:p w:rsidR="005A2B8A" w:rsidRDefault="005A2B8A" w:rsidP="002C6DCF">
            <w:pPr>
              <w:pStyle w:val="TableCellCenter"/>
              <w:widowControl w:val="0"/>
              <w:spacing w:line="280" w:lineRule="atLeast"/>
            </w:pPr>
            <w:r>
              <w:t>K4</w:t>
            </w:r>
          </w:p>
        </w:tc>
        <w:tc>
          <w:tcPr>
            <w:tcW w:w="1353" w:type="dxa"/>
            <w:tcBorders>
              <w:bottom w:val="single" w:sz="6" w:space="0" w:color="auto"/>
            </w:tcBorders>
          </w:tcPr>
          <w:p w:rsidR="005A2B8A" w:rsidRDefault="005A2B8A" w:rsidP="002C6DCF">
            <w:pPr>
              <w:pStyle w:val="TableCellCenter"/>
              <w:widowControl w:val="0"/>
              <w:spacing w:line="280" w:lineRule="atLeast"/>
            </w:pPr>
            <w:r>
              <w:t>+1.49</w:t>
            </w:r>
          </w:p>
        </w:tc>
        <w:tc>
          <w:tcPr>
            <w:tcW w:w="1353" w:type="dxa"/>
            <w:tcBorders>
              <w:bottom w:val="single" w:sz="6" w:space="0" w:color="auto"/>
            </w:tcBorders>
          </w:tcPr>
          <w:p w:rsidR="005A2B8A" w:rsidRDefault="005A2B8A" w:rsidP="002C6DCF">
            <w:pPr>
              <w:pStyle w:val="TableCellCenter"/>
              <w:widowControl w:val="0"/>
              <w:spacing w:line="280" w:lineRule="atLeast"/>
            </w:pPr>
            <w:r>
              <w:t>M2</w:t>
            </w:r>
          </w:p>
        </w:tc>
      </w:tr>
    </w:tbl>
    <w:p w:rsidR="005A2B8A" w:rsidRDefault="005A2B8A" w:rsidP="005A2B8A">
      <w:pPr>
        <w:jc w:val="left"/>
      </w:pPr>
      <w:r>
        <w:rPr>
          <w:rFonts w:eastAsia="Calibri" w:cs="Times New Roman"/>
        </w:rPr>
        <w:t>To interpolate, always take the bluest color (e.g. if the star has B-V=0.85, select K0).</w:t>
      </w:r>
      <w:r>
        <w:t xml:space="preserve"> Remember that when processing, BOT assigns all stars with B-V&lt;+0.1 with a type of O5V, as well as objects above a </w:t>
      </w:r>
      <w:proofErr w:type="spellStart"/>
      <w:r>
        <w:t>V</w:t>
      </w:r>
      <w:r w:rsidRPr="005A2B8A">
        <w:rPr>
          <w:vertAlign w:val="subscript"/>
        </w:rPr>
        <w:t>crit</w:t>
      </w:r>
      <w:proofErr w:type="spellEnd"/>
      <w:r>
        <w:t xml:space="preserve"> value (see the respective BOT documents for details).</w:t>
      </w:r>
    </w:p>
    <w:p w:rsidR="00726E27" w:rsidRDefault="00726E27" w:rsidP="00726E27">
      <w:pPr>
        <w:pStyle w:val="Heading2"/>
      </w:pPr>
      <w:r>
        <w:t>Not a star flag</w:t>
      </w:r>
    </w:p>
    <w:p w:rsidR="00726E27" w:rsidRDefault="00726E27" w:rsidP="005A2B8A">
      <w:pPr>
        <w:jc w:val="left"/>
      </w:pPr>
      <w:r>
        <w:t>If you want to do any testing of BOT’s ability to properly process an object that is marked as “not a star”, then you can also specify the following in the OTHER FLUXES field:</w:t>
      </w:r>
    </w:p>
    <w:p w:rsidR="00726E27" w:rsidRDefault="00726E27" w:rsidP="005A2B8A">
      <w:pPr>
        <w:jc w:val="left"/>
      </w:pPr>
      <w:proofErr w:type="gramStart"/>
      <w:r>
        <w:t>type</w:t>
      </w:r>
      <w:proofErr w:type="gramEnd"/>
      <w:r>
        <w:t xml:space="preserve"> = ? (</w:t>
      </w:r>
      <w:proofErr w:type="gramStart"/>
      <w:r>
        <w:t>indicates</w:t>
      </w:r>
      <w:proofErr w:type="gramEnd"/>
      <w:r>
        <w:t xml:space="preserve"> the object is not a star)</w:t>
      </w:r>
    </w:p>
    <w:p w:rsidR="00726E27" w:rsidRDefault="00726E27" w:rsidP="005A2B8A">
      <w:pPr>
        <w:jc w:val="left"/>
      </w:pPr>
      <w:proofErr w:type="gramStart"/>
      <w:r>
        <w:t>type=</w:t>
      </w:r>
      <w:proofErr w:type="gramEnd"/>
      <w:r>
        <w:t>star (indicates the object is a star)</w:t>
      </w:r>
    </w:p>
    <w:p w:rsidR="00726E27" w:rsidRDefault="00726E27" w:rsidP="005A2B8A">
      <w:pPr>
        <w:jc w:val="left"/>
      </w:pPr>
      <w:r>
        <w:t>If you do not specify this parameter, the object is assumed to be a star.</w:t>
      </w:r>
    </w:p>
    <w:p w:rsidR="005A2B8A" w:rsidRDefault="005A2B8A" w:rsidP="005A2B8A">
      <w:pPr>
        <w:pStyle w:val="Heading1"/>
      </w:pPr>
      <w:r>
        <w:t>GALEX Catalog</w:t>
      </w:r>
    </w:p>
    <w:p w:rsidR="008A3CC9" w:rsidRDefault="008A3CC9" w:rsidP="008A3CC9">
      <w:pPr>
        <w:jc w:val="left"/>
      </w:pPr>
      <w:r>
        <w:t xml:space="preserve">For the GALEX catalog, the name of the target must be </w:t>
      </w:r>
      <w:r>
        <w:rPr>
          <w:b/>
        </w:rPr>
        <w:t>BOT-TARGET-GALEX</w:t>
      </w:r>
      <w:r w:rsidRPr="00A57016">
        <w:rPr>
          <w:b/>
        </w:rPr>
        <w:t>*</w:t>
      </w:r>
      <w:r>
        <w:t xml:space="preserve">, where you can replace the * with anything (e.g. </w:t>
      </w:r>
      <w:r w:rsidRPr="00A57016">
        <w:rPr>
          <w:b/>
        </w:rPr>
        <w:t>BOT-TARGET-</w:t>
      </w:r>
      <w:r>
        <w:rPr>
          <w:b/>
        </w:rPr>
        <w:t>GALEX</w:t>
      </w:r>
      <w:r w:rsidRPr="00A57016">
        <w:rPr>
          <w:b/>
        </w:rPr>
        <w:t>-1</w:t>
      </w:r>
      <w:r>
        <w:t xml:space="preserve">). As with GSC2, you can put anything into the </w:t>
      </w:r>
      <w:proofErr w:type="gramStart"/>
      <w:r>
        <w:t>coordinates</w:t>
      </w:r>
      <w:proofErr w:type="gramEnd"/>
      <w:r>
        <w:t xml:space="preserve"> fields, and you can leave the V magnitude blank. The OTHER FLUXES field is used to provide the magnitude using the following format:</w:t>
      </w:r>
    </w:p>
    <w:p w:rsidR="005A2B8A" w:rsidRDefault="008A3CC9" w:rsidP="005A2B8A">
      <w:pPr>
        <w:jc w:val="left"/>
      </w:pPr>
      <w:proofErr w:type="spellStart"/>
      <w:r>
        <w:t>FuvMag</w:t>
      </w:r>
      <w:proofErr w:type="spellEnd"/>
      <w:r>
        <w:t xml:space="preserve">=XX.X, </w:t>
      </w:r>
      <w:proofErr w:type="spellStart"/>
      <w:r>
        <w:t>NuvMag</w:t>
      </w:r>
      <w:proofErr w:type="spellEnd"/>
      <w:r>
        <w:t>=XX.X</w:t>
      </w:r>
    </w:p>
    <w:p w:rsidR="00623E33" w:rsidRDefault="008A3CC9" w:rsidP="005A2B8A">
      <w:pPr>
        <w:jc w:val="left"/>
      </w:pPr>
      <w:r>
        <w:t xml:space="preserve">For example, </w:t>
      </w:r>
      <w:proofErr w:type="spellStart"/>
      <w:r>
        <w:t>FuvMag</w:t>
      </w:r>
      <w:proofErr w:type="spellEnd"/>
      <w:r>
        <w:t xml:space="preserve">=16.4, </w:t>
      </w:r>
      <w:proofErr w:type="spellStart"/>
      <w:r>
        <w:t>NuvMag</w:t>
      </w:r>
      <w:proofErr w:type="spellEnd"/>
      <w:r>
        <w:t>=16</w:t>
      </w:r>
      <w:r w:rsidR="008F339D">
        <w:t>.1. Y</w:t>
      </w:r>
      <w:r>
        <w:t>ou can also specify an error for both values (</w:t>
      </w:r>
      <w:proofErr w:type="spellStart"/>
      <w:r>
        <w:t>FuvMagError</w:t>
      </w:r>
      <w:proofErr w:type="spellEnd"/>
      <w:r>
        <w:t xml:space="preserve"> and </w:t>
      </w:r>
      <w:proofErr w:type="spellStart"/>
      <w:r>
        <w:t>NuvMagError</w:t>
      </w:r>
      <w:proofErr w:type="spellEnd"/>
      <w:r>
        <w:t xml:space="preserve">), but these are not used by BOT. (BOT also supports the use of </w:t>
      </w:r>
      <w:proofErr w:type="spellStart"/>
      <w:r>
        <w:t>Fuv</w:t>
      </w:r>
      <w:proofErr w:type="spellEnd"/>
      <w:r>
        <w:t xml:space="preserve"> and </w:t>
      </w:r>
      <w:proofErr w:type="spellStart"/>
      <w:r>
        <w:t>Nuv</w:t>
      </w:r>
      <w:proofErr w:type="spellEnd"/>
      <w:r>
        <w:t xml:space="preserve"> for the magnitudes.)</w:t>
      </w:r>
      <w:r w:rsidR="00623E33">
        <w:t xml:space="preserve"> Note that you only need to specify one of the two magnitudes. As when using the actual catalog, all objects with GALEX are assumed to be O5V stars.</w:t>
      </w:r>
      <w:r w:rsidR="008F339D">
        <w:t xml:space="preserve"> </w:t>
      </w:r>
      <w:r w:rsidR="00623E33">
        <w:t xml:space="preserve">Also note that the </w:t>
      </w:r>
      <w:proofErr w:type="gramStart"/>
      <w:r w:rsidR="00623E33">
        <w:t>check for the need to use the new linearity correction, as well as the check for the object being too bright,</w:t>
      </w:r>
      <w:r w:rsidR="008F5C4A">
        <w:t xml:space="preserve"> are</w:t>
      </w:r>
      <w:proofErr w:type="gramEnd"/>
      <w:r w:rsidR="008F5C4A">
        <w:t xml:space="preserve"> also performed just like when using the actual catalog (see the BOT detector documents for details).</w:t>
      </w:r>
    </w:p>
    <w:p w:rsidR="008F339D" w:rsidRDefault="008F339D" w:rsidP="008F339D">
      <w:pPr>
        <w:pStyle w:val="Heading1"/>
      </w:pPr>
      <w:r>
        <w:lastRenderedPageBreak/>
        <w:t>2MASS Catalog</w:t>
      </w:r>
    </w:p>
    <w:p w:rsidR="008F339D" w:rsidRDefault="008F339D" w:rsidP="008F339D">
      <w:pPr>
        <w:jc w:val="left"/>
      </w:pPr>
      <w:proofErr w:type="gramStart"/>
      <w:r>
        <w:t xml:space="preserve">For the 2MASS catalog (the WFC3/IR detector), the name of the target must be </w:t>
      </w:r>
      <w:r w:rsidRPr="008F339D">
        <w:rPr>
          <w:b/>
        </w:rPr>
        <w:t>BOT-TARGET-2MASS*</w:t>
      </w:r>
      <w:r>
        <w:t xml:space="preserve">, where you can replace the * with anything (e.g. </w:t>
      </w:r>
      <w:r w:rsidRPr="008F339D">
        <w:rPr>
          <w:b/>
        </w:rPr>
        <w:t>BOT-TARGET-2MASS-1</w:t>
      </w:r>
      <w:r>
        <w:t>).</w:t>
      </w:r>
      <w:proofErr w:type="gramEnd"/>
      <w:r>
        <w:t xml:space="preserve"> As with GSC2, you can put anything i</w:t>
      </w:r>
      <w:r w:rsidR="002E6764">
        <w:t>nto the coordinate</w:t>
      </w:r>
      <w:r>
        <w:t xml:space="preserve"> fields, and you can leave the V magnitude blank. The OTHER FLUXES field is used to provide the magnitude using the following format:</w:t>
      </w:r>
    </w:p>
    <w:p w:rsidR="005A2B8A" w:rsidRDefault="003D23A2" w:rsidP="005A2B8A">
      <w:pPr>
        <w:jc w:val="left"/>
      </w:pPr>
      <w:proofErr w:type="spellStart"/>
      <w:r>
        <w:t>HMag</w:t>
      </w:r>
      <w:proofErr w:type="spellEnd"/>
      <w:r>
        <w:t xml:space="preserve">=XX.X, </w:t>
      </w:r>
      <w:proofErr w:type="spellStart"/>
      <w:r>
        <w:t>JM</w:t>
      </w:r>
      <w:r w:rsidR="008F339D">
        <w:t>ag</w:t>
      </w:r>
      <w:proofErr w:type="spellEnd"/>
      <w:r w:rsidR="008F339D">
        <w:t>=XX.X</w:t>
      </w:r>
    </w:p>
    <w:p w:rsidR="008F339D" w:rsidRDefault="003D23A2" w:rsidP="005A2B8A">
      <w:pPr>
        <w:jc w:val="left"/>
      </w:pPr>
      <w:r>
        <w:t xml:space="preserve">For example, </w:t>
      </w:r>
      <w:proofErr w:type="spellStart"/>
      <w:r>
        <w:t>HMag</w:t>
      </w:r>
      <w:proofErr w:type="spellEnd"/>
      <w:r>
        <w:t xml:space="preserve">=15.0, </w:t>
      </w:r>
      <w:proofErr w:type="spellStart"/>
      <w:r>
        <w:t>JM</w:t>
      </w:r>
      <w:r w:rsidR="008F339D">
        <w:t>ag</w:t>
      </w:r>
      <w:proofErr w:type="spellEnd"/>
      <w:r w:rsidR="008F339D">
        <w:t>=14.5. You can also specify an error for both values (</w:t>
      </w:r>
      <w:proofErr w:type="spellStart"/>
      <w:r w:rsidR="008F339D">
        <w:t>HMagError</w:t>
      </w:r>
      <w:proofErr w:type="spellEnd"/>
      <w:r w:rsidR="008F339D">
        <w:t xml:space="preserve"> and </w:t>
      </w:r>
      <w:proofErr w:type="spellStart"/>
      <w:r w:rsidR="008F339D">
        <w:t>JMagError</w:t>
      </w:r>
      <w:proofErr w:type="spellEnd"/>
      <w:r w:rsidR="008F339D">
        <w:t xml:space="preserve">), but these are not used by BOT. Note that you only need to specify one of the two magnitudes. You can also specify the </w:t>
      </w:r>
      <w:proofErr w:type="spellStart"/>
      <w:r w:rsidR="008F339D">
        <w:t>cc_flg</w:t>
      </w:r>
      <w:proofErr w:type="spellEnd"/>
      <w:r w:rsidR="008F339D">
        <w:t xml:space="preserve"> field, which is used in 2MASS to indicate</w:t>
      </w:r>
      <w:r w:rsidR="00735312">
        <w:t xml:space="preserve"> </w:t>
      </w:r>
      <w:r w:rsidR="00481B6B">
        <w:t>contamination and confusion</w:t>
      </w:r>
      <w:r w:rsidR="00735312">
        <w:t>. If the value is set to anything other than 0, the object is not processed.</w:t>
      </w:r>
    </w:p>
    <w:p w:rsidR="00735312" w:rsidRPr="005A2B8A" w:rsidRDefault="00735312" w:rsidP="005A2B8A">
      <w:pPr>
        <w:jc w:val="left"/>
      </w:pPr>
      <w:r>
        <w:t>Unlike the other catalogs, there is only a minor dependence on spectral type, and that dependence is part of the lookup table</w:t>
      </w:r>
      <w:r w:rsidR="004A584C">
        <w:t>. Therefore, no spectral type is derived or assumed in BOT processing.</w:t>
      </w:r>
    </w:p>
    <w:p w:rsidR="00A57016" w:rsidRPr="00A57016" w:rsidRDefault="00A57016" w:rsidP="00A57016">
      <w:pPr>
        <w:jc w:val="left"/>
      </w:pPr>
    </w:p>
    <w:p w:rsidR="004454BB" w:rsidRDefault="004454BB" w:rsidP="000C2E3D">
      <w:pPr>
        <w:jc w:val="left"/>
      </w:pPr>
    </w:p>
    <w:sectPr w:rsidR="004454BB" w:rsidSect="004454B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9C" w:rsidRDefault="00223F9C" w:rsidP="002E6764">
      <w:pPr>
        <w:spacing w:before="0" w:after="0"/>
      </w:pPr>
      <w:r>
        <w:separator/>
      </w:r>
    </w:p>
  </w:endnote>
  <w:endnote w:type="continuationSeparator" w:id="0">
    <w:p w:rsidR="00223F9C" w:rsidRDefault="00223F9C" w:rsidP="002E67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9C" w:rsidRDefault="00223F9C" w:rsidP="002E6764">
      <w:pPr>
        <w:spacing w:before="0" w:after="0"/>
      </w:pPr>
      <w:r>
        <w:separator/>
      </w:r>
    </w:p>
  </w:footnote>
  <w:footnote w:type="continuationSeparator" w:id="0">
    <w:p w:rsidR="00223F9C" w:rsidRDefault="00223F9C" w:rsidP="002E676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64" w:rsidRDefault="002E6764" w:rsidP="002E6764">
    <w:pPr>
      <w:pStyle w:val="Header"/>
      <w:jc w:val="left"/>
    </w:pPr>
    <w:r>
      <w:t>May 20,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E3D"/>
    <w:rsid w:val="00014931"/>
    <w:rsid w:val="00021CE6"/>
    <w:rsid w:val="000229E5"/>
    <w:rsid w:val="00044BA3"/>
    <w:rsid w:val="00045627"/>
    <w:rsid w:val="00066A2E"/>
    <w:rsid w:val="000873B4"/>
    <w:rsid w:val="000C2E3D"/>
    <w:rsid w:val="000C6127"/>
    <w:rsid w:val="000E3F8F"/>
    <w:rsid w:val="0012154A"/>
    <w:rsid w:val="001223B0"/>
    <w:rsid w:val="001E45E5"/>
    <w:rsid w:val="001F01C3"/>
    <w:rsid w:val="00223F9C"/>
    <w:rsid w:val="0022486C"/>
    <w:rsid w:val="00227ED5"/>
    <w:rsid w:val="002947B0"/>
    <w:rsid w:val="002A00EF"/>
    <w:rsid w:val="002B4222"/>
    <w:rsid w:val="002C08DB"/>
    <w:rsid w:val="002E0CF0"/>
    <w:rsid w:val="002E6764"/>
    <w:rsid w:val="00350B4A"/>
    <w:rsid w:val="00365912"/>
    <w:rsid w:val="003856D1"/>
    <w:rsid w:val="003D23A2"/>
    <w:rsid w:val="00420D1C"/>
    <w:rsid w:val="004266DC"/>
    <w:rsid w:val="004316DA"/>
    <w:rsid w:val="00440123"/>
    <w:rsid w:val="004454BB"/>
    <w:rsid w:val="00481B6B"/>
    <w:rsid w:val="00484622"/>
    <w:rsid w:val="004978A4"/>
    <w:rsid w:val="004A584C"/>
    <w:rsid w:val="004E1DE2"/>
    <w:rsid w:val="004F1741"/>
    <w:rsid w:val="00501CE0"/>
    <w:rsid w:val="00572998"/>
    <w:rsid w:val="00591D5C"/>
    <w:rsid w:val="005A2B8A"/>
    <w:rsid w:val="005A5D5D"/>
    <w:rsid w:val="005E2A6B"/>
    <w:rsid w:val="005E4319"/>
    <w:rsid w:val="0061551A"/>
    <w:rsid w:val="00623E33"/>
    <w:rsid w:val="00634B95"/>
    <w:rsid w:val="00661313"/>
    <w:rsid w:val="006D0D83"/>
    <w:rsid w:val="006D79DC"/>
    <w:rsid w:val="006E2577"/>
    <w:rsid w:val="00726E27"/>
    <w:rsid w:val="00734805"/>
    <w:rsid w:val="00735312"/>
    <w:rsid w:val="00740C8B"/>
    <w:rsid w:val="00750936"/>
    <w:rsid w:val="00752B39"/>
    <w:rsid w:val="00785382"/>
    <w:rsid w:val="007A5A8C"/>
    <w:rsid w:val="008268A1"/>
    <w:rsid w:val="00855931"/>
    <w:rsid w:val="00875804"/>
    <w:rsid w:val="008A3CC9"/>
    <w:rsid w:val="008D50BF"/>
    <w:rsid w:val="008D50F5"/>
    <w:rsid w:val="008D77B3"/>
    <w:rsid w:val="008F1DA0"/>
    <w:rsid w:val="008F2B10"/>
    <w:rsid w:val="008F339D"/>
    <w:rsid w:val="008F5C4A"/>
    <w:rsid w:val="0099331D"/>
    <w:rsid w:val="0099431C"/>
    <w:rsid w:val="00997AC7"/>
    <w:rsid w:val="009A1BDA"/>
    <w:rsid w:val="009B1027"/>
    <w:rsid w:val="009C39A0"/>
    <w:rsid w:val="009C5303"/>
    <w:rsid w:val="00A5113D"/>
    <w:rsid w:val="00A54F90"/>
    <w:rsid w:val="00A57016"/>
    <w:rsid w:val="00AB72FC"/>
    <w:rsid w:val="00B0686D"/>
    <w:rsid w:val="00B06D82"/>
    <w:rsid w:val="00B1301F"/>
    <w:rsid w:val="00B4587D"/>
    <w:rsid w:val="00BA0924"/>
    <w:rsid w:val="00BA0B6F"/>
    <w:rsid w:val="00BB4542"/>
    <w:rsid w:val="00C23A10"/>
    <w:rsid w:val="00C410B9"/>
    <w:rsid w:val="00C60C78"/>
    <w:rsid w:val="00C6580E"/>
    <w:rsid w:val="00C87D90"/>
    <w:rsid w:val="00CD5E45"/>
    <w:rsid w:val="00CE448B"/>
    <w:rsid w:val="00D808B5"/>
    <w:rsid w:val="00D82003"/>
    <w:rsid w:val="00DB2E27"/>
    <w:rsid w:val="00DD3D76"/>
    <w:rsid w:val="00DD691B"/>
    <w:rsid w:val="00E034BE"/>
    <w:rsid w:val="00E50BBB"/>
    <w:rsid w:val="00E620A5"/>
    <w:rsid w:val="00E66746"/>
    <w:rsid w:val="00E948C8"/>
    <w:rsid w:val="00EE663C"/>
    <w:rsid w:val="00F112FC"/>
    <w:rsid w:val="00F20350"/>
    <w:rsid w:val="00F34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60"/>
        <w:ind w:left="720"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3D"/>
    <w:pPr>
      <w:ind w:left="0" w:firstLine="0"/>
    </w:pPr>
    <w:rPr>
      <w:rFonts w:ascii="Times New Roman" w:hAnsi="Times New Roman"/>
      <w:sz w:val="24"/>
    </w:rPr>
  </w:style>
  <w:style w:type="paragraph" w:styleId="Heading1">
    <w:name w:val="heading 1"/>
    <w:basedOn w:val="Normal"/>
    <w:next w:val="Normal"/>
    <w:link w:val="Heading1Char"/>
    <w:uiPriority w:val="9"/>
    <w:qFormat/>
    <w:rsid w:val="00014931"/>
    <w:pPr>
      <w:keepNext/>
      <w:keepLines/>
      <w:spacing w:before="480" w:after="0"/>
      <w:jc w:val="lef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14931"/>
    <w:pPr>
      <w:keepNext/>
      <w:keepLines/>
      <w:spacing w:before="200" w:after="0"/>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1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93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493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14931"/>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014931"/>
    <w:rPr>
      <w:rFonts w:asciiTheme="majorHAnsi" w:eastAsiaTheme="majorEastAsia" w:hAnsiTheme="majorHAnsi" w:cstheme="majorBidi"/>
      <w:b/>
      <w:bCs/>
      <w:color w:val="4F81BD" w:themeColor="accent1"/>
      <w:sz w:val="24"/>
    </w:rPr>
  </w:style>
  <w:style w:type="paragraph" w:customStyle="1" w:styleId="Default">
    <w:name w:val="Default"/>
    <w:rsid w:val="00A57016"/>
    <w:pPr>
      <w:autoSpaceDE w:val="0"/>
      <w:autoSpaceDN w:val="0"/>
      <w:adjustRightInd w:val="0"/>
      <w:spacing w:before="0" w:after="0"/>
      <w:ind w:left="0" w:firstLine="0"/>
      <w:jc w:val="left"/>
    </w:pPr>
    <w:rPr>
      <w:rFonts w:ascii="Times New Roman" w:hAnsi="Times New Roman" w:cs="Times New Roman"/>
      <w:color w:val="000000"/>
      <w:sz w:val="24"/>
      <w:szCs w:val="24"/>
    </w:rPr>
  </w:style>
  <w:style w:type="paragraph" w:customStyle="1" w:styleId="BodyEquation">
    <w:name w:val="BodyEquation"/>
    <w:basedOn w:val="Normal"/>
    <w:rsid w:val="000E3F8F"/>
    <w:pPr>
      <w:overflowPunct w:val="0"/>
      <w:autoSpaceDE w:val="0"/>
      <w:autoSpaceDN w:val="0"/>
      <w:adjustRightInd w:val="0"/>
      <w:spacing w:before="100" w:after="100"/>
      <w:ind w:left="158"/>
      <w:jc w:val="left"/>
      <w:textAlignment w:val="baseline"/>
    </w:pPr>
    <w:rPr>
      <w:rFonts w:ascii="Times" w:eastAsia="Times New Roman" w:hAnsi="Times" w:cs="Times New Roman"/>
      <w:noProof/>
      <w:color w:val="000000"/>
      <w:szCs w:val="20"/>
    </w:rPr>
  </w:style>
  <w:style w:type="paragraph" w:customStyle="1" w:styleId="TableCellCenter">
    <w:name w:val="TableCellCenter"/>
    <w:basedOn w:val="Normal"/>
    <w:rsid w:val="005A2B8A"/>
    <w:pPr>
      <w:overflowPunct w:val="0"/>
      <w:autoSpaceDE w:val="0"/>
      <w:autoSpaceDN w:val="0"/>
      <w:adjustRightInd w:val="0"/>
      <w:spacing w:before="0" w:after="0"/>
      <w:jc w:val="center"/>
      <w:textAlignment w:val="baseline"/>
    </w:pPr>
    <w:rPr>
      <w:rFonts w:ascii="Times" w:eastAsia="Times New Roman" w:hAnsi="Times" w:cs="Times New Roman"/>
      <w:noProof/>
      <w:color w:val="000000"/>
      <w:sz w:val="18"/>
      <w:szCs w:val="20"/>
    </w:rPr>
  </w:style>
  <w:style w:type="paragraph" w:customStyle="1" w:styleId="TableColHeadCenter">
    <w:name w:val="TableColHeadCenter"/>
    <w:basedOn w:val="Normal"/>
    <w:rsid w:val="005A2B8A"/>
    <w:pPr>
      <w:overflowPunct w:val="0"/>
      <w:autoSpaceDE w:val="0"/>
      <w:autoSpaceDN w:val="0"/>
      <w:adjustRightInd w:val="0"/>
      <w:spacing w:before="0" w:after="0"/>
      <w:jc w:val="center"/>
      <w:textAlignment w:val="baseline"/>
    </w:pPr>
    <w:rPr>
      <w:rFonts w:ascii="Times" w:eastAsia="Times New Roman" w:hAnsi="Times" w:cs="Times New Roman"/>
      <w:b/>
      <w:noProof/>
      <w:color w:val="000000"/>
      <w:sz w:val="18"/>
      <w:szCs w:val="20"/>
    </w:rPr>
  </w:style>
  <w:style w:type="paragraph" w:styleId="Header">
    <w:name w:val="header"/>
    <w:basedOn w:val="Normal"/>
    <w:link w:val="HeaderChar"/>
    <w:uiPriority w:val="99"/>
    <w:semiHidden/>
    <w:unhideWhenUsed/>
    <w:rsid w:val="002E6764"/>
    <w:pPr>
      <w:tabs>
        <w:tab w:val="center" w:pos="4680"/>
        <w:tab w:val="right" w:pos="9360"/>
      </w:tabs>
      <w:spacing w:before="0" w:after="0"/>
    </w:pPr>
  </w:style>
  <w:style w:type="character" w:customStyle="1" w:styleId="HeaderChar">
    <w:name w:val="Header Char"/>
    <w:basedOn w:val="DefaultParagraphFont"/>
    <w:link w:val="Header"/>
    <w:uiPriority w:val="99"/>
    <w:semiHidden/>
    <w:rsid w:val="002E6764"/>
    <w:rPr>
      <w:rFonts w:ascii="Times New Roman" w:hAnsi="Times New Roman"/>
      <w:sz w:val="24"/>
    </w:rPr>
  </w:style>
  <w:style w:type="paragraph" w:styleId="Footer">
    <w:name w:val="footer"/>
    <w:basedOn w:val="Normal"/>
    <w:link w:val="FooterChar"/>
    <w:uiPriority w:val="99"/>
    <w:semiHidden/>
    <w:unhideWhenUsed/>
    <w:rsid w:val="002E6764"/>
    <w:pPr>
      <w:tabs>
        <w:tab w:val="center" w:pos="4680"/>
        <w:tab w:val="right" w:pos="9360"/>
      </w:tabs>
      <w:spacing w:before="0" w:after="0"/>
    </w:pPr>
  </w:style>
  <w:style w:type="character" w:customStyle="1" w:styleId="FooterChar">
    <w:name w:val="Footer Char"/>
    <w:basedOn w:val="DefaultParagraphFont"/>
    <w:link w:val="Footer"/>
    <w:uiPriority w:val="99"/>
    <w:semiHidden/>
    <w:rsid w:val="002E676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322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Downes</dc:creator>
  <cp:keywords/>
  <dc:description/>
  <cp:lastModifiedBy> Downes</cp:lastModifiedBy>
  <cp:revision>15</cp:revision>
  <dcterms:created xsi:type="dcterms:W3CDTF">2013-04-11T18:05:00Z</dcterms:created>
  <dcterms:modified xsi:type="dcterms:W3CDTF">2013-05-20T18:07:00Z</dcterms:modified>
</cp:coreProperties>
</file>