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3D" w:rsidRDefault="00953285" w:rsidP="000C2E3D">
      <w:pPr>
        <w:jc w:val="center"/>
        <w:rPr>
          <w:b/>
          <w:sz w:val="32"/>
          <w:szCs w:val="32"/>
        </w:rPr>
      </w:pPr>
      <w:r>
        <w:rPr>
          <w:b/>
          <w:sz w:val="32"/>
          <w:szCs w:val="32"/>
        </w:rPr>
        <w:t>“Hidden” aspects of BOT</w:t>
      </w:r>
    </w:p>
    <w:p w:rsidR="000C2E3D" w:rsidRPr="000C2E3D" w:rsidRDefault="000C2E3D" w:rsidP="000C2E3D">
      <w:pPr>
        <w:jc w:val="center"/>
        <w:rPr>
          <w:b/>
          <w:sz w:val="32"/>
          <w:szCs w:val="32"/>
        </w:rPr>
      </w:pPr>
    </w:p>
    <w:p w:rsidR="00953285" w:rsidRDefault="000C2E3D" w:rsidP="000C2E3D">
      <w:pPr>
        <w:jc w:val="left"/>
      </w:pPr>
      <w:r>
        <w:t xml:space="preserve">There are </w:t>
      </w:r>
      <w:r w:rsidR="00953285">
        <w:t>several assumptions inherent in the BOT tool that people tend to forget.  In this document, I will attempt to note many of these items.  Note that (almost) everything listed here is included in the BOT detector documents, so you should see those documents for more details (and other things that I may have missed).</w:t>
      </w:r>
    </w:p>
    <w:p w:rsidR="00953285" w:rsidRPr="00953285" w:rsidRDefault="002B4222" w:rsidP="00953285">
      <w:pPr>
        <w:pStyle w:val="Heading1"/>
      </w:pPr>
      <w:r>
        <w:t xml:space="preserve">1: </w:t>
      </w:r>
      <w:r w:rsidR="00953285">
        <w:t>WFC3/IR 2MASS lookup table</w:t>
      </w:r>
    </w:p>
    <w:p w:rsidR="00953285" w:rsidRDefault="00953285" w:rsidP="000C2E3D">
      <w:pPr>
        <w:jc w:val="left"/>
      </w:pPr>
      <w:r>
        <w:t xml:space="preserve">For the WFC3/IR detector, 2MASS is the catalog of choice.  The WFC3 team found that the </w:t>
      </w:r>
      <w:proofErr w:type="spellStart"/>
      <w:r>
        <w:t>countrates</w:t>
      </w:r>
      <w:proofErr w:type="spellEnd"/>
      <w:r>
        <w:t xml:space="preserve"> in the various filter had very little dependence on spectral type, so they decided to only have one </w:t>
      </w:r>
      <w:proofErr w:type="spellStart"/>
      <w:r>
        <w:t>countrate</w:t>
      </w:r>
      <w:proofErr w:type="spellEnd"/>
      <w:r>
        <w:t xml:space="preserve"> per filter, determined using the worst-case spectral type.  Here are the spectral types that they used:</w:t>
      </w:r>
    </w:p>
    <w:tbl>
      <w:tblPr>
        <w:tblStyle w:val="TableGrid"/>
        <w:tblW w:w="0" w:type="auto"/>
        <w:tblLook w:val="04A0"/>
      </w:tblPr>
      <w:tblGrid>
        <w:gridCol w:w="1638"/>
        <w:gridCol w:w="1530"/>
        <w:gridCol w:w="1710"/>
      </w:tblGrid>
      <w:tr w:rsidR="00953285" w:rsidTr="00953285">
        <w:tc>
          <w:tcPr>
            <w:tcW w:w="1638" w:type="dxa"/>
          </w:tcPr>
          <w:p w:rsidR="00953285" w:rsidRDefault="00953285" w:rsidP="000C2E3D">
            <w:pPr>
              <w:jc w:val="left"/>
            </w:pPr>
            <w:r>
              <w:t>Filter</w:t>
            </w:r>
          </w:p>
        </w:tc>
        <w:tc>
          <w:tcPr>
            <w:tcW w:w="1530" w:type="dxa"/>
          </w:tcPr>
          <w:p w:rsidR="00953285" w:rsidRDefault="00953285" w:rsidP="000C2E3D">
            <w:pPr>
              <w:jc w:val="left"/>
            </w:pPr>
            <w:r>
              <w:t>Magnitude</w:t>
            </w:r>
          </w:p>
        </w:tc>
        <w:tc>
          <w:tcPr>
            <w:tcW w:w="1710" w:type="dxa"/>
          </w:tcPr>
          <w:p w:rsidR="00953285" w:rsidRDefault="00953285" w:rsidP="000C2E3D">
            <w:pPr>
              <w:jc w:val="left"/>
            </w:pPr>
            <w:r>
              <w:t>Spectral Type</w:t>
            </w:r>
          </w:p>
        </w:tc>
      </w:tr>
      <w:tr w:rsidR="00953285" w:rsidTr="00953285">
        <w:tc>
          <w:tcPr>
            <w:tcW w:w="1638" w:type="dxa"/>
          </w:tcPr>
          <w:p w:rsidR="00953285" w:rsidRDefault="00953285" w:rsidP="000C2E3D">
            <w:pPr>
              <w:jc w:val="left"/>
            </w:pPr>
            <w:r>
              <w:t>F098M</w:t>
            </w:r>
          </w:p>
        </w:tc>
        <w:tc>
          <w:tcPr>
            <w:tcW w:w="1530" w:type="dxa"/>
          </w:tcPr>
          <w:p w:rsidR="00953285" w:rsidRDefault="00953285" w:rsidP="000C2E3D">
            <w:pPr>
              <w:jc w:val="left"/>
            </w:pPr>
            <w:r>
              <w:t>J=15</w:t>
            </w:r>
          </w:p>
        </w:tc>
        <w:tc>
          <w:tcPr>
            <w:tcW w:w="1710" w:type="dxa"/>
          </w:tcPr>
          <w:p w:rsidR="00953285" w:rsidRDefault="00953285" w:rsidP="000C2E3D">
            <w:pPr>
              <w:jc w:val="left"/>
            </w:pPr>
            <w:r>
              <w:t>O5V</w:t>
            </w:r>
          </w:p>
        </w:tc>
      </w:tr>
      <w:tr w:rsidR="00953285" w:rsidTr="00953285">
        <w:tc>
          <w:tcPr>
            <w:tcW w:w="1638" w:type="dxa"/>
          </w:tcPr>
          <w:p w:rsidR="00953285" w:rsidRDefault="00953285" w:rsidP="000C2E3D">
            <w:pPr>
              <w:jc w:val="left"/>
            </w:pPr>
            <w:r>
              <w:t>F105W</w:t>
            </w:r>
          </w:p>
        </w:tc>
        <w:tc>
          <w:tcPr>
            <w:tcW w:w="1530" w:type="dxa"/>
          </w:tcPr>
          <w:p w:rsidR="00953285" w:rsidRDefault="00953285" w:rsidP="00E36588">
            <w:pPr>
              <w:jc w:val="left"/>
            </w:pPr>
            <w:r>
              <w:t>J=15</w:t>
            </w:r>
          </w:p>
        </w:tc>
        <w:tc>
          <w:tcPr>
            <w:tcW w:w="1710" w:type="dxa"/>
          </w:tcPr>
          <w:p w:rsidR="00953285" w:rsidRDefault="00953285" w:rsidP="000C2E3D">
            <w:pPr>
              <w:jc w:val="left"/>
            </w:pPr>
            <w:r>
              <w:t>O5V</w:t>
            </w:r>
          </w:p>
        </w:tc>
      </w:tr>
      <w:tr w:rsidR="00953285" w:rsidTr="00953285">
        <w:tc>
          <w:tcPr>
            <w:tcW w:w="1638" w:type="dxa"/>
          </w:tcPr>
          <w:p w:rsidR="00953285" w:rsidRDefault="00953285" w:rsidP="000C2E3D">
            <w:pPr>
              <w:jc w:val="left"/>
            </w:pPr>
            <w:r>
              <w:t>F110W</w:t>
            </w:r>
          </w:p>
        </w:tc>
        <w:tc>
          <w:tcPr>
            <w:tcW w:w="1530" w:type="dxa"/>
          </w:tcPr>
          <w:p w:rsidR="00953285" w:rsidRDefault="00953285" w:rsidP="00E36588">
            <w:pPr>
              <w:jc w:val="left"/>
            </w:pPr>
            <w:r>
              <w:t>J=15</w:t>
            </w:r>
          </w:p>
        </w:tc>
        <w:tc>
          <w:tcPr>
            <w:tcW w:w="1710" w:type="dxa"/>
          </w:tcPr>
          <w:p w:rsidR="00953285" w:rsidRDefault="00953285" w:rsidP="000C2E3D">
            <w:pPr>
              <w:jc w:val="left"/>
            </w:pPr>
            <w:r>
              <w:t>O5V</w:t>
            </w:r>
          </w:p>
        </w:tc>
      </w:tr>
      <w:tr w:rsidR="00953285" w:rsidTr="00953285">
        <w:tc>
          <w:tcPr>
            <w:tcW w:w="1638" w:type="dxa"/>
          </w:tcPr>
          <w:p w:rsidR="00953285" w:rsidRDefault="00953285" w:rsidP="000C2E3D">
            <w:pPr>
              <w:jc w:val="left"/>
            </w:pPr>
            <w:r>
              <w:t>F125W</w:t>
            </w:r>
          </w:p>
        </w:tc>
        <w:tc>
          <w:tcPr>
            <w:tcW w:w="1530" w:type="dxa"/>
          </w:tcPr>
          <w:p w:rsidR="00953285" w:rsidRDefault="00953285" w:rsidP="00E36588">
            <w:pPr>
              <w:jc w:val="left"/>
            </w:pPr>
            <w:r>
              <w:t>J=15</w:t>
            </w:r>
          </w:p>
        </w:tc>
        <w:tc>
          <w:tcPr>
            <w:tcW w:w="1710" w:type="dxa"/>
          </w:tcPr>
          <w:p w:rsidR="00953285" w:rsidRDefault="00953285" w:rsidP="000C2E3D">
            <w:pPr>
              <w:jc w:val="left"/>
            </w:pPr>
            <w:r>
              <w:t>M2V</w:t>
            </w:r>
          </w:p>
        </w:tc>
      </w:tr>
      <w:tr w:rsidR="00953285" w:rsidTr="00953285">
        <w:tc>
          <w:tcPr>
            <w:tcW w:w="1638" w:type="dxa"/>
          </w:tcPr>
          <w:p w:rsidR="00953285" w:rsidRDefault="00953285" w:rsidP="000C2E3D">
            <w:pPr>
              <w:jc w:val="left"/>
            </w:pPr>
            <w:r>
              <w:t>F126N</w:t>
            </w:r>
          </w:p>
        </w:tc>
        <w:tc>
          <w:tcPr>
            <w:tcW w:w="1530" w:type="dxa"/>
          </w:tcPr>
          <w:p w:rsidR="00953285" w:rsidRDefault="00953285" w:rsidP="00E36588">
            <w:pPr>
              <w:jc w:val="left"/>
            </w:pPr>
            <w:r>
              <w:t>J=15</w:t>
            </w:r>
          </w:p>
        </w:tc>
        <w:tc>
          <w:tcPr>
            <w:tcW w:w="1710" w:type="dxa"/>
          </w:tcPr>
          <w:p w:rsidR="00953285" w:rsidRDefault="00953285" w:rsidP="00E36588">
            <w:pPr>
              <w:jc w:val="left"/>
            </w:pPr>
            <w:r>
              <w:t>M2V</w:t>
            </w:r>
          </w:p>
        </w:tc>
      </w:tr>
      <w:tr w:rsidR="00953285" w:rsidTr="00953285">
        <w:tc>
          <w:tcPr>
            <w:tcW w:w="1638" w:type="dxa"/>
          </w:tcPr>
          <w:p w:rsidR="00953285" w:rsidRDefault="00953285" w:rsidP="00E36588">
            <w:pPr>
              <w:jc w:val="left"/>
            </w:pPr>
            <w:r>
              <w:t>F127M</w:t>
            </w:r>
          </w:p>
        </w:tc>
        <w:tc>
          <w:tcPr>
            <w:tcW w:w="1530" w:type="dxa"/>
          </w:tcPr>
          <w:p w:rsidR="00953285" w:rsidRDefault="00953285" w:rsidP="00E36588">
            <w:pPr>
              <w:jc w:val="left"/>
            </w:pPr>
            <w:r>
              <w:t>J=15</w:t>
            </w:r>
          </w:p>
        </w:tc>
        <w:tc>
          <w:tcPr>
            <w:tcW w:w="1710" w:type="dxa"/>
          </w:tcPr>
          <w:p w:rsidR="00953285" w:rsidRDefault="00953285" w:rsidP="00E36588">
            <w:pPr>
              <w:jc w:val="left"/>
            </w:pPr>
            <w:r>
              <w:t>M2V</w:t>
            </w:r>
          </w:p>
        </w:tc>
      </w:tr>
      <w:tr w:rsidR="00953285" w:rsidTr="00953285">
        <w:tc>
          <w:tcPr>
            <w:tcW w:w="1638" w:type="dxa"/>
          </w:tcPr>
          <w:p w:rsidR="00953285" w:rsidRDefault="00953285" w:rsidP="00E36588">
            <w:pPr>
              <w:jc w:val="left"/>
            </w:pPr>
            <w:r>
              <w:t>F128N</w:t>
            </w:r>
          </w:p>
        </w:tc>
        <w:tc>
          <w:tcPr>
            <w:tcW w:w="1530" w:type="dxa"/>
          </w:tcPr>
          <w:p w:rsidR="00953285" w:rsidRDefault="00953285" w:rsidP="00E36588">
            <w:pPr>
              <w:jc w:val="left"/>
            </w:pPr>
            <w:r>
              <w:t>J=15</w:t>
            </w:r>
          </w:p>
        </w:tc>
        <w:tc>
          <w:tcPr>
            <w:tcW w:w="1710" w:type="dxa"/>
          </w:tcPr>
          <w:p w:rsidR="00953285" w:rsidRDefault="00953285" w:rsidP="00E36588">
            <w:pPr>
              <w:jc w:val="left"/>
            </w:pPr>
            <w:r>
              <w:t>M2V</w:t>
            </w:r>
          </w:p>
        </w:tc>
      </w:tr>
      <w:tr w:rsidR="00953285" w:rsidTr="00953285">
        <w:tc>
          <w:tcPr>
            <w:tcW w:w="1638" w:type="dxa"/>
          </w:tcPr>
          <w:p w:rsidR="00953285" w:rsidRDefault="00953285" w:rsidP="00E36588">
            <w:pPr>
              <w:jc w:val="left"/>
            </w:pPr>
            <w:r>
              <w:t>F130N</w:t>
            </w:r>
          </w:p>
        </w:tc>
        <w:tc>
          <w:tcPr>
            <w:tcW w:w="1530" w:type="dxa"/>
          </w:tcPr>
          <w:p w:rsidR="00953285" w:rsidRDefault="00953285" w:rsidP="00E36588">
            <w:pPr>
              <w:jc w:val="left"/>
            </w:pPr>
            <w:r>
              <w:t>J=15</w:t>
            </w:r>
          </w:p>
        </w:tc>
        <w:tc>
          <w:tcPr>
            <w:tcW w:w="1710" w:type="dxa"/>
          </w:tcPr>
          <w:p w:rsidR="00953285" w:rsidRDefault="00953285" w:rsidP="00E36588">
            <w:pPr>
              <w:jc w:val="left"/>
            </w:pPr>
            <w:r>
              <w:t>M2V</w:t>
            </w:r>
          </w:p>
        </w:tc>
      </w:tr>
      <w:tr w:rsidR="00953285" w:rsidTr="00953285">
        <w:tc>
          <w:tcPr>
            <w:tcW w:w="1638" w:type="dxa"/>
          </w:tcPr>
          <w:p w:rsidR="00953285" w:rsidRDefault="00953285" w:rsidP="00E36588">
            <w:pPr>
              <w:jc w:val="left"/>
            </w:pPr>
            <w:r>
              <w:t>F132N</w:t>
            </w:r>
          </w:p>
        </w:tc>
        <w:tc>
          <w:tcPr>
            <w:tcW w:w="1530" w:type="dxa"/>
          </w:tcPr>
          <w:p w:rsidR="00953285" w:rsidRDefault="00953285" w:rsidP="00E36588">
            <w:pPr>
              <w:jc w:val="left"/>
            </w:pPr>
            <w:r>
              <w:t>J=15</w:t>
            </w:r>
          </w:p>
        </w:tc>
        <w:tc>
          <w:tcPr>
            <w:tcW w:w="1710" w:type="dxa"/>
          </w:tcPr>
          <w:p w:rsidR="00953285" w:rsidRDefault="00953285" w:rsidP="00E36588">
            <w:pPr>
              <w:jc w:val="left"/>
            </w:pPr>
            <w:r>
              <w:t>M2V</w:t>
            </w:r>
          </w:p>
        </w:tc>
      </w:tr>
      <w:tr w:rsidR="00953285" w:rsidTr="00953285">
        <w:tc>
          <w:tcPr>
            <w:tcW w:w="1638" w:type="dxa"/>
          </w:tcPr>
          <w:p w:rsidR="00953285" w:rsidRDefault="00953285" w:rsidP="00E36588">
            <w:pPr>
              <w:jc w:val="left"/>
            </w:pPr>
            <w:r>
              <w:t>F139M</w:t>
            </w:r>
          </w:p>
        </w:tc>
        <w:tc>
          <w:tcPr>
            <w:tcW w:w="1530" w:type="dxa"/>
          </w:tcPr>
          <w:p w:rsidR="00953285" w:rsidRDefault="00953285" w:rsidP="00E36588">
            <w:pPr>
              <w:jc w:val="left"/>
            </w:pPr>
            <w:r>
              <w:t>J=15</w:t>
            </w:r>
          </w:p>
        </w:tc>
        <w:tc>
          <w:tcPr>
            <w:tcW w:w="1710" w:type="dxa"/>
          </w:tcPr>
          <w:p w:rsidR="00953285" w:rsidRDefault="00953285" w:rsidP="00E36588">
            <w:pPr>
              <w:jc w:val="left"/>
            </w:pPr>
            <w:r>
              <w:t>M2V</w:t>
            </w:r>
          </w:p>
        </w:tc>
      </w:tr>
      <w:tr w:rsidR="00953285" w:rsidTr="00953285">
        <w:tc>
          <w:tcPr>
            <w:tcW w:w="1638" w:type="dxa"/>
          </w:tcPr>
          <w:p w:rsidR="00953285" w:rsidRDefault="00953285" w:rsidP="00E36588">
            <w:pPr>
              <w:jc w:val="left"/>
            </w:pPr>
            <w:r>
              <w:t>F140W</w:t>
            </w:r>
          </w:p>
        </w:tc>
        <w:tc>
          <w:tcPr>
            <w:tcW w:w="1530" w:type="dxa"/>
          </w:tcPr>
          <w:p w:rsidR="00953285" w:rsidRDefault="00953285" w:rsidP="00E36588">
            <w:pPr>
              <w:jc w:val="left"/>
            </w:pPr>
            <w:r>
              <w:t>J=15</w:t>
            </w:r>
          </w:p>
        </w:tc>
        <w:tc>
          <w:tcPr>
            <w:tcW w:w="1710" w:type="dxa"/>
          </w:tcPr>
          <w:p w:rsidR="00953285" w:rsidRDefault="00953285" w:rsidP="00E36588">
            <w:pPr>
              <w:jc w:val="left"/>
            </w:pPr>
            <w:r>
              <w:t>M2V</w:t>
            </w:r>
          </w:p>
        </w:tc>
      </w:tr>
      <w:tr w:rsidR="00953285" w:rsidTr="00953285">
        <w:tc>
          <w:tcPr>
            <w:tcW w:w="1638" w:type="dxa"/>
          </w:tcPr>
          <w:p w:rsidR="00953285" w:rsidRDefault="00953285" w:rsidP="00E36588">
            <w:pPr>
              <w:jc w:val="left"/>
            </w:pPr>
            <w:r>
              <w:t>F153M</w:t>
            </w:r>
          </w:p>
        </w:tc>
        <w:tc>
          <w:tcPr>
            <w:tcW w:w="1530" w:type="dxa"/>
          </w:tcPr>
          <w:p w:rsidR="00953285" w:rsidRDefault="00953285" w:rsidP="000C2E3D">
            <w:pPr>
              <w:jc w:val="left"/>
            </w:pPr>
            <w:r>
              <w:t>H=15</w:t>
            </w:r>
          </w:p>
        </w:tc>
        <w:tc>
          <w:tcPr>
            <w:tcW w:w="1710" w:type="dxa"/>
          </w:tcPr>
          <w:p w:rsidR="00953285" w:rsidRDefault="00953285" w:rsidP="000C2E3D">
            <w:pPr>
              <w:jc w:val="left"/>
            </w:pPr>
            <w:r>
              <w:t>O5V</w:t>
            </w:r>
          </w:p>
        </w:tc>
      </w:tr>
      <w:tr w:rsidR="00953285" w:rsidTr="00953285">
        <w:tc>
          <w:tcPr>
            <w:tcW w:w="1638" w:type="dxa"/>
          </w:tcPr>
          <w:p w:rsidR="00953285" w:rsidRDefault="00953285" w:rsidP="00E36588">
            <w:pPr>
              <w:jc w:val="left"/>
            </w:pPr>
            <w:r>
              <w:t>F160W</w:t>
            </w:r>
          </w:p>
        </w:tc>
        <w:tc>
          <w:tcPr>
            <w:tcW w:w="1530" w:type="dxa"/>
          </w:tcPr>
          <w:p w:rsidR="00953285" w:rsidRDefault="00953285" w:rsidP="00E36588">
            <w:pPr>
              <w:jc w:val="left"/>
            </w:pPr>
            <w:r>
              <w:t>H=15</w:t>
            </w:r>
          </w:p>
        </w:tc>
        <w:tc>
          <w:tcPr>
            <w:tcW w:w="1710" w:type="dxa"/>
          </w:tcPr>
          <w:p w:rsidR="00953285" w:rsidRDefault="00953285" w:rsidP="000C2E3D">
            <w:pPr>
              <w:jc w:val="left"/>
            </w:pPr>
            <w:r>
              <w:t>O5V</w:t>
            </w:r>
          </w:p>
        </w:tc>
      </w:tr>
      <w:tr w:rsidR="00953285" w:rsidTr="00953285">
        <w:tc>
          <w:tcPr>
            <w:tcW w:w="1638" w:type="dxa"/>
          </w:tcPr>
          <w:p w:rsidR="00953285" w:rsidRDefault="00953285" w:rsidP="00E36588">
            <w:pPr>
              <w:jc w:val="left"/>
            </w:pPr>
            <w:r>
              <w:t>F164N</w:t>
            </w:r>
          </w:p>
        </w:tc>
        <w:tc>
          <w:tcPr>
            <w:tcW w:w="1530" w:type="dxa"/>
          </w:tcPr>
          <w:p w:rsidR="00953285" w:rsidRDefault="00953285" w:rsidP="00E36588">
            <w:pPr>
              <w:jc w:val="left"/>
            </w:pPr>
            <w:r>
              <w:t>H=15</w:t>
            </w:r>
          </w:p>
        </w:tc>
        <w:tc>
          <w:tcPr>
            <w:tcW w:w="1710" w:type="dxa"/>
          </w:tcPr>
          <w:p w:rsidR="00953285" w:rsidRDefault="00953285" w:rsidP="000C2E3D">
            <w:pPr>
              <w:jc w:val="left"/>
            </w:pPr>
            <w:r>
              <w:t>O5V</w:t>
            </w:r>
          </w:p>
        </w:tc>
      </w:tr>
      <w:tr w:rsidR="00953285" w:rsidTr="00953285">
        <w:tc>
          <w:tcPr>
            <w:tcW w:w="1638" w:type="dxa"/>
          </w:tcPr>
          <w:p w:rsidR="00953285" w:rsidRDefault="00953285" w:rsidP="000C2E3D">
            <w:pPr>
              <w:jc w:val="left"/>
            </w:pPr>
            <w:r>
              <w:t>F167N</w:t>
            </w:r>
          </w:p>
        </w:tc>
        <w:tc>
          <w:tcPr>
            <w:tcW w:w="1530" w:type="dxa"/>
          </w:tcPr>
          <w:p w:rsidR="00953285" w:rsidRDefault="00953285" w:rsidP="00E36588">
            <w:pPr>
              <w:jc w:val="left"/>
            </w:pPr>
            <w:r>
              <w:t>H=15</w:t>
            </w:r>
          </w:p>
        </w:tc>
        <w:tc>
          <w:tcPr>
            <w:tcW w:w="1710" w:type="dxa"/>
          </w:tcPr>
          <w:p w:rsidR="00953285" w:rsidRDefault="00953285" w:rsidP="000C2E3D">
            <w:pPr>
              <w:jc w:val="left"/>
            </w:pPr>
            <w:r>
              <w:t>O5V</w:t>
            </w:r>
          </w:p>
        </w:tc>
      </w:tr>
    </w:tbl>
    <w:p w:rsidR="00953285" w:rsidRDefault="00953285" w:rsidP="000C2E3D">
      <w:pPr>
        <w:jc w:val="left"/>
      </w:pPr>
      <w:r>
        <w:t>Note the unlike the other detectors, there is no ETC script to automatically generate the WFC3/IR tables, so the WFC3 team must supply it.</w:t>
      </w:r>
      <w:r w:rsidR="003B1E3F">
        <w:t xml:space="preserve"> However, in case they forget, I have included this table.</w:t>
      </w:r>
      <w:r w:rsidR="00C61EF7">
        <w:t xml:space="preserve"> This table is </w:t>
      </w:r>
      <w:r w:rsidR="00C61EF7" w:rsidRPr="00C61EF7">
        <w:rPr>
          <w:b/>
        </w:rPr>
        <w:t>NOT</w:t>
      </w:r>
      <w:r w:rsidR="00C61EF7">
        <w:t xml:space="preserve"> included in the WFC3/IR document.</w:t>
      </w:r>
    </w:p>
    <w:p w:rsidR="003B1E3F" w:rsidRDefault="003B1E3F" w:rsidP="000C2E3D">
      <w:pPr>
        <w:jc w:val="left"/>
      </w:pPr>
      <w:r>
        <w:t>Also note that BOT does NOT support the GRISM spectral elements, but it does support the GRISM apertures (when used with non-GRISM elements).</w:t>
      </w:r>
    </w:p>
    <w:p w:rsidR="00953285" w:rsidRDefault="00953285" w:rsidP="005173A7">
      <w:pPr>
        <w:pStyle w:val="Heading1"/>
      </w:pPr>
      <w:r>
        <w:t xml:space="preserve"> </w:t>
      </w:r>
      <w:r w:rsidR="005173A7">
        <w:t xml:space="preserve">2: </w:t>
      </w:r>
      <w:proofErr w:type="spellStart"/>
      <w:r w:rsidR="005173A7">
        <w:t>Macroaperture</w:t>
      </w:r>
      <w:proofErr w:type="spellEnd"/>
      <w:r w:rsidR="005173A7">
        <w:t xml:space="preserve"> sizes</w:t>
      </w:r>
    </w:p>
    <w:p w:rsidR="005173A7" w:rsidRDefault="005173A7" w:rsidP="005173A7">
      <w:pPr>
        <w:jc w:val="left"/>
      </w:pPr>
      <w:r>
        <w:t>Here is a summary table of the search areas (</w:t>
      </w:r>
      <w:proofErr w:type="spellStart"/>
      <w:r>
        <w:t>macroaperture</w:t>
      </w:r>
      <w:proofErr w:type="spellEnd"/>
      <w:r>
        <w:t xml:space="preserve"> sizes) for all the detectors.</w:t>
      </w:r>
    </w:p>
    <w:p w:rsidR="005173A7" w:rsidRDefault="005173A7" w:rsidP="005173A7">
      <w:pPr>
        <w:jc w:val="left"/>
      </w:pPr>
    </w:p>
    <w:tbl>
      <w:tblPr>
        <w:tblStyle w:val="TableGrid"/>
        <w:tblW w:w="8274" w:type="dxa"/>
        <w:tblLook w:val="04A0"/>
      </w:tblPr>
      <w:tblGrid>
        <w:gridCol w:w="1545"/>
        <w:gridCol w:w="1259"/>
        <w:gridCol w:w="1257"/>
        <w:gridCol w:w="808"/>
        <w:gridCol w:w="998"/>
        <w:gridCol w:w="938"/>
        <w:gridCol w:w="1469"/>
      </w:tblGrid>
      <w:tr w:rsidR="001F420D" w:rsidTr="001F420D">
        <w:tc>
          <w:tcPr>
            <w:tcW w:w="1545" w:type="dxa"/>
          </w:tcPr>
          <w:p w:rsidR="001F420D" w:rsidRDefault="001F420D" w:rsidP="005173A7">
            <w:pPr>
              <w:jc w:val="left"/>
            </w:pPr>
            <w:r>
              <w:lastRenderedPageBreak/>
              <w:t>Detector</w:t>
            </w:r>
          </w:p>
        </w:tc>
        <w:tc>
          <w:tcPr>
            <w:tcW w:w="1259" w:type="dxa"/>
          </w:tcPr>
          <w:p w:rsidR="001F420D" w:rsidRDefault="001F420D" w:rsidP="005173A7">
            <w:pPr>
              <w:jc w:val="left"/>
            </w:pPr>
            <w:r>
              <w:t>Aperture Size</w:t>
            </w:r>
          </w:p>
        </w:tc>
        <w:tc>
          <w:tcPr>
            <w:tcW w:w="1257" w:type="dxa"/>
          </w:tcPr>
          <w:p w:rsidR="001F420D" w:rsidRDefault="001F420D" w:rsidP="005173A7">
            <w:pPr>
              <w:jc w:val="left"/>
            </w:pPr>
            <w:r>
              <w:t>Circular Equivalent</w:t>
            </w:r>
          </w:p>
        </w:tc>
        <w:tc>
          <w:tcPr>
            <w:tcW w:w="808" w:type="dxa"/>
          </w:tcPr>
          <w:p w:rsidR="001F420D" w:rsidRDefault="001F420D" w:rsidP="005173A7">
            <w:pPr>
              <w:jc w:val="left"/>
            </w:pPr>
            <w:r>
              <w:t>Fudge factor</w:t>
            </w:r>
          </w:p>
        </w:tc>
        <w:tc>
          <w:tcPr>
            <w:tcW w:w="998" w:type="dxa"/>
          </w:tcPr>
          <w:p w:rsidR="001F420D" w:rsidRDefault="001F420D" w:rsidP="005C22D4">
            <w:pPr>
              <w:jc w:val="left"/>
            </w:pPr>
            <w:r>
              <w:t>BOT Aperture</w:t>
            </w:r>
          </w:p>
        </w:tc>
        <w:tc>
          <w:tcPr>
            <w:tcW w:w="938" w:type="dxa"/>
          </w:tcPr>
          <w:p w:rsidR="001F420D" w:rsidRDefault="001F420D" w:rsidP="005C22D4">
            <w:pPr>
              <w:jc w:val="left"/>
            </w:pPr>
            <w:r>
              <w:t xml:space="preserve">Padding </w:t>
            </w:r>
          </w:p>
        </w:tc>
        <w:tc>
          <w:tcPr>
            <w:tcW w:w="1469" w:type="dxa"/>
          </w:tcPr>
          <w:p w:rsidR="001F420D" w:rsidRDefault="001F420D" w:rsidP="005C22D4">
            <w:pPr>
              <w:jc w:val="left"/>
            </w:pPr>
            <w:r>
              <w:t>Total Search Radius</w:t>
            </w:r>
          </w:p>
        </w:tc>
      </w:tr>
      <w:tr w:rsidR="001F420D" w:rsidTr="001F420D">
        <w:tc>
          <w:tcPr>
            <w:tcW w:w="1545" w:type="dxa"/>
          </w:tcPr>
          <w:p w:rsidR="001F420D" w:rsidRDefault="001F420D" w:rsidP="005173A7">
            <w:pPr>
              <w:jc w:val="left"/>
            </w:pPr>
            <w:r>
              <w:t>STIS/CCD</w:t>
            </w:r>
          </w:p>
        </w:tc>
        <w:tc>
          <w:tcPr>
            <w:tcW w:w="1259" w:type="dxa"/>
          </w:tcPr>
          <w:p w:rsidR="001F420D" w:rsidRPr="001F420D" w:rsidRDefault="001F420D" w:rsidP="005173A7">
            <w:pPr>
              <w:jc w:val="left"/>
            </w:pPr>
            <w:r w:rsidRPr="001F420D">
              <w:t>51”x51”</w:t>
            </w:r>
          </w:p>
        </w:tc>
        <w:tc>
          <w:tcPr>
            <w:tcW w:w="1257" w:type="dxa"/>
          </w:tcPr>
          <w:p w:rsidR="001F420D" w:rsidRPr="001F420D" w:rsidRDefault="001F420D" w:rsidP="005173A7">
            <w:pPr>
              <w:jc w:val="left"/>
            </w:pPr>
            <w:r w:rsidRPr="001F420D">
              <w:t>29.1”</w:t>
            </w:r>
          </w:p>
        </w:tc>
        <w:tc>
          <w:tcPr>
            <w:tcW w:w="808" w:type="dxa"/>
          </w:tcPr>
          <w:p w:rsidR="001F420D" w:rsidRDefault="001F420D" w:rsidP="005173A7">
            <w:pPr>
              <w:jc w:val="left"/>
            </w:pPr>
            <w:r>
              <w:t>1.0</w:t>
            </w:r>
          </w:p>
        </w:tc>
        <w:tc>
          <w:tcPr>
            <w:tcW w:w="998" w:type="dxa"/>
          </w:tcPr>
          <w:p w:rsidR="001F420D" w:rsidRPr="001F420D" w:rsidRDefault="001F420D" w:rsidP="005C22D4">
            <w:pPr>
              <w:jc w:val="left"/>
            </w:pPr>
            <w:r w:rsidRPr="001F420D">
              <w:t>29.1”</w:t>
            </w:r>
          </w:p>
        </w:tc>
        <w:tc>
          <w:tcPr>
            <w:tcW w:w="938" w:type="dxa"/>
          </w:tcPr>
          <w:p w:rsidR="001F420D" w:rsidRPr="001F420D" w:rsidRDefault="001F420D" w:rsidP="005C22D4">
            <w:pPr>
              <w:jc w:val="left"/>
            </w:pPr>
            <w:r w:rsidRPr="001F420D">
              <w:t>5</w:t>
            </w:r>
          </w:p>
        </w:tc>
        <w:tc>
          <w:tcPr>
            <w:tcW w:w="1469" w:type="dxa"/>
          </w:tcPr>
          <w:p w:rsidR="001F420D" w:rsidRPr="001F420D" w:rsidRDefault="001F420D" w:rsidP="005C22D4">
            <w:pPr>
              <w:jc w:val="left"/>
            </w:pPr>
            <w:r w:rsidRPr="001F420D">
              <w:t>34.1</w:t>
            </w:r>
          </w:p>
        </w:tc>
      </w:tr>
      <w:tr w:rsidR="001F420D" w:rsidTr="001F420D">
        <w:tc>
          <w:tcPr>
            <w:tcW w:w="1545" w:type="dxa"/>
          </w:tcPr>
          <w:p w:rsidR="001F420D" w:rsidRDefault="001F420D" w:rsidP="005173A7">
            <w:pPr>
              <w:jc w:val="left"/>
            </w:pPr>
            <w:r>
              <w:t>SITS/MAMA</w:t>
            </w:r>
          </w:p>
        </w:tc>
        <w:tc>
          <w:tcPr>
            <w:tcW w:w="1259" w:type="dxa"/>
          </w:tcPr>
          <w:p w:rsidR="001F420D" w:rsidRPr="001F420D" w:rsidRDefault="001F420D" w:rsidP="005173A7">
            <w:pPr>
              <w:jc w:val="left"/>
            </w:pPr>
            <w:r w:rsidRPr="001F420D">
              <w:t>25”x25”</w:t>
            </w:r>
          </w:p>
        </w:tc>
        <w:tc>
          <w:tcPr>
            <w:tcW w:w="1257" w:type="dxa"/>
          </w:tcPr>
          <w:p w:rsidR="001F420D" w:rsidRPr="001F420D" w:rsidRDefault="001F420D" w:rsidP="005173A7">
            <w:pPr>
              <w:jc w:val="left"/>
            </w:pPr>
            <w:r w:rsidRPr="001F420D">
              <w:t>17.8”</w:t>
            </w:r>
          </w:p>
        </w:tc>
        <w:tc>
          <w:tcPr>
            <w:tcW w:w="808" w:type="dxa"/>
          </w:tcPr>
          <w:p w:rsidR="001F420D" w:rsidRDefault="001F420D" w:rsidP="005173A7">
            <w:pPr>
              <w:jc w:val="left"/>
            </w:pPr>
            <w:r>
              <w:t>1.0</w:t>
            </w:r>
          </w:p>
        </w:tc>
        <w:tc>
          <w:tcPr>
            <w:tcW w:w="998" w:type="dxa"/>
          </w:tcPr>
          <w:p w:rsidR="001F420D" w:rsidRPr="001F420D" w:rsidRDefault="001F420D" w:rsidP="005C22D4">
            <w:pPr>
              <w:jc w:val="left"/>
            </w:pPr>
            <w:r w:rsidRPr="001F420D">
              <w:t>17.8”</w:t>
            </w:r>
          </w:p>
        </w:tc>
        <w:tc>
          <w:tcPr>
            <w:tcW w:w="938" w:type="dxa"/>
          </w:tcPr>
          <w:p w:rsidR="001F420D" w:rsidRPr="001F420D" w:rsidRDefault="001F420D" w:rsidP="005C22D4">
            <w:pPr>
              <w:jc w:val="left"/>
            </w:pPr>
            <w:r w:rsidRPr="001F420D">
              <w:t>5</w:t>
            </w:r>
          </w:p>
        </w:tc>
        <w:tc>
          <w:tcPr>
            <w:tcW w:w="1469" w:type="dxa"/>
          </w:tcPr>
          <w:p w:rsidR="001F420D" w:rsidRPr="001F420D" w:rsidRDefault="001F420D" w:rsidP="005C22D4">
            <w:pPr>
              <w:jc w:val="left"/>
            </w:pPr>
            <w:r w:rsidRPr="001F420D">
              <w:t>22.8</w:t>
            </w:r>
          </w:p>
        </w:tc>
      </w:tr>
      <w:tr w:rsidR="001F420D" w:rsidTr="001F420D">
        <w:tc>
          <w:tcPr>
            <w:tcW w:w="1545" w:type="dxa"/>
          </w:tcPr>
          <w:p w:rsidR="001F420D" w:rsidRDefault="001F420D" w:rsidP="005173A7">
            <w:pPr>
              <w:jc w:val="left"/>
            </w:pPr>
            <w:r>
              <w:t>ACS/WFC</w:t>
            </w:r>
          </w:p>
        </w:tc>
        <w:tc>
          <w:tcPr>
            <w:tcW w:w="1259" w:type="dxa"/>
          </w:tcPr>
          <w:p w:rsidR="001F420D" w:rsidRPr="001F420D" w:rsidRDefault="001F420D" w:rsidP="005173A7">
            <w:pPr>
              <w:jc w:val="left"/>
            </w:pPr>
            <w:r w:rsidRPr="001F420D">
              <w:t>202”x202”</w:t>
            </w:r>
          </w:p>
        </w:tc>
        <w:tc>
          <w:tcPr>
            <w:tcW w:w="1257" w:type="dxa"/>
          </w:tcPr>
          <w:p w:rsidR="001F420D" w:rsidRPr="001F420D" w:rsidRDefault="001F420D" w:rsidP="005173A7">
            <w:pPr>
              <w:jc w:val="left"/>
            </w:pPr>
            <w:r w:rsidRPr="001F420D">
              <w:t>142.8”</w:t>
            </w:r>
          </w:p>
        </w:tc>
        <w:tc>
          <w:tcPr>
            <w:tcW w:w="808" w:type="dxa"/>
          </w:tcPr>
          <w:p w:rsidR="001F420D" w:rsidRDefault="001F420D" w:rsidP="005173A7">
            <w:pPr>
              <w:jc w:val="left"/>
            </w:pPr>
            <w:r>
              <w:t>1.1</w:t>
            </w:r>
          </w:p>
        </w:tc>
        <w:tc>
          <w:tcPr>
            <w:tcW w:w="998" w:type="dxa"/>
          </w:tcPr>
          <w:p w:rsidR="001F420D" w:rsidRPr="001F420D" w:rsidRDefault="001F420D" w:rsidP="005C22D4">
            <w:pPr>
              <w:jc w:val="left"/>
            </w:pPr>
            <w:r w:rsidRPr="001F420D">
              <w:t>159.6”</w:t>
            </w:r>
          </w:p>
        </w:tc>
        <w:tc>
          <w:tcPr>
            <w:tcW w:w="938" w:type="dxa"/>
          </w:tcPr>
          <w:p w:rsidR="001F420D" w:rsidRPr="001F420D" w:rsidRDefault="001F420D" w:rsidP="005C22D4">
            <w:pPr>
              <w:jc w:val="left"/>
            </w:pPr>
            <w:r w:rsidRPr="001F420D">
              <w:t>10</w:t>
            </w:r>
          </w:p>
        </w:tc>
        <w:tc>
          <w:tcPr>
            <w:tcW w:w="1469" w:type="dxa"/>
          </w:tcPr>
          <w:p w:rsidR="001F420D" w:rsidRPr="001F420D" w:rsidRDefault="001F420D" w:rsidP="005C22D4">
            <w:pPr>
              <w:jc w:val="left"/>
            </w:pPr>
            <w:r w:rsidRPr="001F420D">
              <w:t>169.6</w:t>
            </w:r>
          </w:p>
        </w:tc>
      </w:tr>
      <w:tr w:rsidR="001F420D" w:rsidTr="001F420D">
        <w:tc>
          <w:tcPr>
            <w:tcW w:w="1545" w:type="dxa"/>
          </w:tcPr>
          <w:p w:rsidR="001F420D" w:rsidRDefault="001F420D" w:rsidP="005173A7">
            <w:pPr>
              <w:jc w:val="left"/>
            </w:pPr>
            <w:r>
              <w:t>ACS/SBC</w:t>
            </w:r>
          </w:p>
        </w:tc>
        <w:tc>
          <w:tcPr>
            <w:tcW w:w="1259" w:type="dxa"/>
          </w:tcPr>
          <w:p w:rsidR="001F420D" w:rsidRPr="001F420D" w:rsidRDefault="001F420D" w:rsidP="005173A7">
            <w:pPr>
              <w:jc w:val="left"/>
            </w:pPr>
            <w:r w:rsidRPr="001F420D">
              <w:t>34”x31”</w:t>
            </w:r>
          </w:p>
        </w:tc>
        <w:tc>
          <w:tcPr>
            <w:tcW w:w="1257" w:type="dxa"/>
          </w:tcPr>
          <w:p w:rsidR="001F420D" w:rsidRPr="001F420D" w:rsidRDefault="001F420D" w:rsidP="005173A7">
            <w:pPr>
              <w:jc w:val="left"/>
            </w:pPr>
            <w:r w:rsidRPr="001F420D">
              <w:t>23.0”</w:t>
            </w:r>
          </w:p>
        </w:tc>
        <w:tc>
          <w:tcPr>
            <w:tcW w:w="808" w:type="dxa"/>
          </w:tcPr>
          <w:p w:rsidR="001F420D" w:rsidRDefault="001F420D" w:rsidP="005173A7">
            <w:pPr>
              <w:jc w:val="left"/>
            </w:pPr>
            <w:r>
              <w:t>1.2</w:t>
            </w:r>
          </w:p>
        </w:tc>
        <w:tc>
          <w:tcPr>
            <w:tcW w:w="998" w:type="dxa"/>
          </w:tcPr>
          <w:p w:rsidR="001F420D" w:rsidRPr="001F420D" w:rsidRDefault="001F420D" w:rsidP="005C22D4">
            <w:pPr>
              <w:jc w:val="left"/>
            </w:pPr>
            <w:r w:rsidRPr="001F420D">
              <w:t>26.8”</w:t>
            </w:r>
          </w:p>
        </w:tc>
        <w:tc>
          <w:tcPr>
            <w:tcW w:w="938" w:type="dxa"/>
          </w:tcPr>
          <w:p w:rsidR="001F420D" w:rsidRPr="001F420D" w:rsidRDefault="001F420D" w:rsidP="005C22D4">
            <w:pPr>
              <w:jc w:val="left"/>
            </w:pPr>
            <w:r w:rsidRPr="001F420D">
              <w:t>8.2</w:t>
            </w:r>
          </w:p>
        </w:tc>
        <w:tc>
          <w:tcPr>
            <w:tcW w:w="1469" w:type="dxa"/>
          </w:tcPr>
          <w:p w:rsidR="001F420D" w:rsidRPr="001F420D" w:rsidRDefault="001F420D" w:rsidP="005C22D4">
            <w:pPr>
              <w:jc w:val="left"/>
            </w:pPr>
            <w:r w:rsidRPr="001F420D">
              <w:t>35.0</w:t>
            </w:r>
          </w:p>
        </w:tc>
      </w:tr>
      <w:tr w:rsidR="001F420D" w:rsidTr="001F420D">
        <w:tc>
          <w:tcPr>
            <w:tcW w:w="1545" w:type="dxa"/>
          </w:tcPr>
          <w:p w:rsidR="001F420D" w:rsidRDefault="001F420D" w:rsidP="005173A7">
            <w:pPr>
              <w:jc w:val="left"/>
            </w:pPr>
            <w:r>
              <w:t>COS/NUV</w:t>
            </w:r>
          </w:p>
        </w:tc>
        <w:tc>
          <w:tcPr>
            <w:tcW w:w="1259" w:type="dxa"/>
          </w:tcPr>
          <w:p w:rsidR="001F420D" w:rsidRPr="001F420D" w:rsidRDefault="001F420D" w:rsidP="005173A7">
            <w:pPr>
              <w:jc w:val="left"/>
            </w:pPr>
            <w:r w:rsidRPr="001F420D">
              <w:t>2.5”</w:t>
            </w:r>
          </w:p>
        </w:tc>
        <w:tc>
          <w:tcPr>
            <w:tcW w:w="1257" w:type="dxa"/>
          </w:tcPr>
          <w:p w:rsidR="001F420D" w:rsidRPr="001F420D" w:rsidRDefault="001F420D" w:rsidP="005173A7">
            <w:pPr>
              <w:jc w:val="left"/>
            </w:pPr>
          </w:p>
        </w:tc>
        <w:tc>
          <w:tcPr>
            <w:tcW w:w="808" w:type="dxa"/>
          </w:tcPr>
          <w:p w:rsidR="001F420D" w:rsidRDefault="001F420D" w:rsidP="005173A7">
            <w:pPr>
              <w:jc w:val="left"/>
            </w:pPr>
            <w:r>
              <w:t>1.0</w:t>
            </w:r>
          </w:p>
        </w:tc>
        <w:tc>
          <w:tcPr>
            <w:tcW w:w="998" w:type="dxa"/>
          </w:tcPr>
          <w:p w:rsidR="001F420D" w:rsidRPr="001F420D" w:rsidRDefault="001F420D" w:rsidP="005C22D4">
            <w:pPr>
              <w:jc w:val="left"/>
            </w:pPr>
            <w:r w:rsidRPr="001F420D">
              <w:t>2.5”</w:t>
            </w:r>
          </w:p>
        </w:tc>
        <w:tc>
          <w:tcPr>
            <w:tcW w:w="938" w:type="dxa"/>
          </w:tcPr>
          <w:p w:rsidR="001F420D" w:rsidRPr="001F420D" w:rsidRDefault="001F420D" w:rsidP="005C22D4">
            <w:pPr>
              <w:jc w:val="left"/>
            </w:pPr>
            <w:r w:rsidRPr="001F420D">
              <w:t>7</w:t>
            </w:r>
          </w:p>
        </w:tc>
        <w:tc>
          <w:tcPr>
            <w:tcW w:w="1469" w:type="dxa"/>
          </w:tcPr>
          <w:p w:rsidR="001F420D" w:rsidRPr="001F420D" w:rsidRDefault="001F420D" w:rsidP="005C22D4">
            <w:pPr>
              <w:jc w:val="left"/>
            </w:pPr>
            <w:r w:rsidRPr="001F420D">
              <w:t>8.25</w:t>
            </w:r>
          </w:p>
        </w:tc>
      </w:tr>
      <w:tr w:rsidR="001F420D" w:rsidTr="001F420D">
        <w:tc>
          <w:tcPr>
            <w:tcW w:w="1545" w:type="dxa"/>
          </w:tcPr>
          <w:p w:rsidR="001F420D" w:rsidRDefault="001F420D" w:rsidP="005173A7">
            <w:pPr>
              <w:jc w:val="left"/>
            </w:pPr>
            <w:r>
              <w:t>COS/FUV</w:t>
            </w:r>
          </w:p>
        </w:tc>
        <w:tc>
          <w:tcPr>
            <w:tcW w:w="1259" w:type="dxa"/>
          </w:tcPr>
          <w:p w:rsidR="001F420D" w:rsidRPr="001F420D" w:rsidRDefault="001F420D" w:rsidP="005173A7">
            <w:pPr>
              <w:jc w:val="left"/>
            </w:pPr>
            <w:r w:rsidRPr="001F420D">
              <w:t>2.5”</w:t>
            </w:r>
          </w:p>
        </w:tc>
        <w:tc>
          <w:tcPr>
            <w:tcW w:w="1257" w:type="dxa"/>
          </w:tcPr>
          <w:p w:rsidR="001F420D" w:rsidRPr="001F420D" w:rsidRDefault="001F420D" w:rsidP="005173A7">
            <w:pPr>
              <w:jc w:val="left"/>
            </w:pPr>
          </w:p>
        </w:tc>
        <w:tc>
          <w:tcPr>
            <w:tcW w:w="808" w:type="dxa"/>
          </w:tcPr>
          <w:p w:rsidR="001F420D" w:rsidRDefault="001F420D" w:rsidP="005173A7">
            <w:pPr>
              <w:jc w:val="left"/>
            </w:pPr>
            <w:r>
              <w:t>1.0</w:t>
            </w:r>
          </w:p>
        </w:tc>
        <w:tc>
          <w:tcPr>
            <w:tcW w:w="998" w:type="dxa"/>
          </w:tcPr>
          <w:p w:rsidR="001F420D" w:rsidRPr="001F420D" w:rsidRDefault="001F420D" w:rsidP="005C22D4">
            <w:pPr>
              <w:jc w:val="left"/>
            </w:pPr>
            <w:r w:rsidRPr="001F420D">
              <w:t>2.5”</w:t>
            </w:r>
          </w:p>
        </w:tc>
        <w:tc>
          <w:tcPr>
            <w:tcW w:w="938" w:type="dxa"/>
          </w:tcPr>
          <w:p w:rsidR="001F420D" w:rsidRPr="001F420D" w:rsidRDefault="001F420D" w:rsidP="005C22D4">
            <w:pPr>
              <w:jc w:val="left"/>
            </w:pPr>
            <w:r w:rsidRPr="001F420D">
              <w:t>7</w:t>
            </w:r>
          </w:p>
        </w:tc>
        <w:tc>
          <w:tcPr>
            <w:tcW w:w="1469" w:type="dxa"/>
          </w:tcPr>
          <w:p w:rsidR="001F420D" w:rsidRPr="001F420D" w:rsidRDefault="001F420D" w:rsidP="005C22D4">
            <w:pPr>
              <w:jc w:val="left"/>
            </w:pPr>
            <w:r w:rsidRPr="001F420D">
              <w:t>8.25</w:t>
            </w:r>
          </w:p>
        </w:tc>
      </w:tr>
      <w:tr w:rsidR="001F420D" w:rsidTr="001F420D">
        <w:tc>
          <w:tcPr>
            <w:tcW w:w="1545" w:type="dxa"/>
          </w:tcPr>
          <w:p w:rsidR="001F420D" w:rsidRDefault="001F420D" w:rsidP="005173A7">
            <w:pPr>
              <w:jc w:val="left"/>
            </w:pPr>
            <w:r>
              <w:t>WFC3/UVIS</w:t>
            </w:r>
          </w:p>
        </w:tc>
        <w:tc>
          <w:tcPr>
            <w:tcW w:w="1259" w:type="dxa"/>
          </w:tcPr>
          <w:p w:rsidR="001F420D" w:rsidRPr="001F420D" w:rsidRDefault="001F420D" w:rsidP="005173A7">
            <w:pPr>
              <w:jc w:val="left"/>
            </w:pPr>
            <w:r w:rsidRPr="001F420D">
              <w:t>163”X162”</w:t>
            </w:r>
          </w:p>
        </w:tc>
        <w:tc>
          <w:tcPr>
            <w:tcW w:w="1257" w:type="dxa"/>
          </w:tcPr>
          <w:p w:rsidR="001F420D" w:rsidRPr="001F420D" w:rsidRDefault="001F420D" w:rsidP="005173A7">
            <w:pPr>
              <w:jc w:val="left"/>
            </w:pPr>
            <w:r w:rsidRPr="001F420D">
              <w:t>115.3”</w:t>
            </w:r>
          </w:p>
        </w:tc>
        <w:tc>
          <w:tcPr>
            <w:tcW w:w="808" w:type="dxa"/>
          </w:tcPr>
          <w:p w:rsidR="001F420D" w:rsidRDefault="001F420D" w:rsidP="005173A7">
            <w:pPr>
              <w:jc w:val="left"/>
            </w:pPr>
            <w:r>
              <w:t>1.1</w:t>
            </w:r>
          </w:p>
        </w:tc>
        <w:tc>
          <w:tcPr>
            <w:tcW w:w="998" w:type="dxa"/>
          </w:tcPr>
          <w:p w:rsidR="001F420D" w:rsidRPr="001F420D" w:rsidRDefault="001F420D" w:rsidP="005C22D4">
            <w:pPr>
              <w:jc w:val="left"/>
            </w:pPr>
            <w:r w:rsidRPr="001F420D">
              <w:t>127.3“</w:t>
            </w:r>
          </w:p>
        </w:tc>
        <w:tc>
          <w:tcPr>
            <w:tcW w:w="938" w:type="dxa"/>
          </w:tcPr>
          <w:p w:rsidR="001F420D" w:rsidRPr="001F420D" w:rsidRDefault="001F420D" w:rsidP="005C22D4">
            <w:pPr>
              <w:jc w:val="left"/>
            </w:pPr>
            <w:r w:rsidRPr="001F420D">
              <w:t>10.4</w:t>
            </w:r>
          </w:p>
        </w:tc>
        <w:tc>
          <w:tcPr>
            <w:tcW w:w="1469" w:type="dxa"/>
          </w:tcPr>
          <w:p w:rsidR="001F420D" w:rsidRPr="001F420D" w:rsidRDefault="001F420D" w:rsidP="005C22D4">
            <w:pPr>
              <w:jc w:val="left"/>
            </w:pPr>
            <w:r w:rsidRPr="001F420D">
              <w:t>137.7</w:t>
            </w:r>
          </w:p>
        </w:tc>
      </w:tr>
      <w:tr w:rsidR="001F420D" w:rsidTr="001F420D">
        <w:tc>
          <w:tcPr>
            <w:tcW w:w="1545" w:type="dxa"/>
          </w:tcPr>
          <w:p w:rsidR="001F420D" w:rsidRDefault="001F420D" w:rsidP="005173A7">
            <w:pPr>
              <w:jc w:val="left"/>
            </w:pPr>
            <w:r>
              <w:t>WFC3/IR</w:t>
            </w:r>
          </w:p>
        </w:tc>
        <w:tc>
          <w:tcPr>
            <w:tcW w:w="1259" w:type="dxa"/>
          </w:tcPr>
          <w:p w:rsidR="001F420D" w:rsidRPr="001F420D" w:rsidRDefault="001F420D" w:rsidP="005173A7">
            <w:pPr>
              <w:jc w:val="left"/>
            </w:pPr>
            <w:r w:rsidRPr="001F420D">
              <w:t>123”x137”</w:t>
            </w:r>
          </w:p>
        </w:tc>
        <w:tc>
          <w:tcPr>
            <w:tcW w:w="1257" w:type="dxa"/>
          </w:tcPr>
          <w:p w:rsidR="001F420D" w:rsidRPr="001F420D" w:rsidRDefault="001F420D" w:rsidP="005173A7">
            <w:pPr>
              <w:jc w:val="left"/>
            </w:pPr>
            <w:r w:rsidRPr="001F420D">
              <w:t>92.1”</w:t>
            </w:r>
          </w:p>
        </w:tc>
        <w:tc>
          <w:tcPr>
            <w:tcW w:w="808" w:type="dxa"/>
          </w:tcPr>
          <w:p w:rsidR="001F420D" w:rsidRDefault="001F420D" w:rsidP="005173A7">
            <w:pPr>
              <w:jc w:val="left"/>
            </w:pPr>
            <w:r>
              <w:t>1.1</w:t>
            </w:r>
          </w:p>
        </w:tc>
        <w:tc>
          <w:tcPr>
            <w:tcW w:w="998" w:type="dxa"/>
          </w:tcPr>
          <w:p w:rsidR="001F420D" w:rsidRPr="001F420D" w:rsidRDefault="001F420D" w:rsidP="005C22D4">
            <w:pPr>
              <w:jc w:val="left"/>
            </w:pPr>
            <w:r w:rsidRPr="001F420D">
              <w:t>100.1</w:t>
            </w:r>
          </w:p>
        </w:tc>
        <w:tc>
          <w:tcPr>
            <w:tcW w:w="938" w:type="dxa"/>
          </w:tcPr>
          <w:p w:rsidR="001F420D" w:rsidRPr="001F420D" w:rsidRDefault="001F420D" w:rsidP="005C22D4">
            <w:pPr>
              <w:jc w:val="left"/>
            </w:pPr>
            <w:r w:rsidRPr="001F420D">
              <w:t>10.4</w:t>
            </w:r>
          </w:p>
        </w:tc>
        <w:tc>
          <w:tcPr>
            <w:tcW w:w="1469" w:type="dxa"/>
          </w:tcPr>
          <w:p w:rsidR="001F420D" w:rsidRPr="001F420D" w:rsidRDefault="001F420D" w:rsidP="005C22D4">
            <w:pPr>
              <w:jc w:val="left"/>
            </w:pPr>
            <w:r w:rsidRPr="001F420D">
              <w:t>102.5</w:t>
            </w:r>
          </w:p>
        </w:tc>
      </w:tr>
    </w:tbl>
    <w:p w:rsidR="00421CCA" w:rsidRDefault="00421CCA" w:rsidP="000C2E3D">
      <w:pPr>
        <w:jc w:val="left"/>
      </w:pPr>
    </w:p>
    <w:p w:rsidR="00322E28" w:rsidRDefault="0093581C" w:rsidP="00322E28">
      <w:pPr>
        <w:pStyle w:val="Heading1"/>
      </w:pPr>
      <w:r>
        <w:t>3: Classification of stars</w:t>
      </w:r>
    </w:p>
    <w:p w:rsidR="0093581C" w:rsidRDefault="0093581C" w:rsidP="0093581C">
      <w:pPr>
        <w:pStyle w:val="Heading2"/>
      </w:pPr>
      <w:r>
        <w:t>General</w:t>
      </w:r>
    </w:p>
    <w:p w:rsidR="00C163AF" w:rsidRDefault="0093581C" w:rsidP="0093581C">
      <w:pPr>
        <w:pStyle w:val="ListParagraph"/>
        <w:numPr>
          <w:ilvl w:val="0"/>
          <w:numId w:val="5"/>
        </w:numPr>
        <w:jc w:val="left"/>
      </w:pPr>
      <w:r>
        <w:t xml:space="preserve">Since only one color is available for GSC2 objects, BOT assumes all objects are main sequence stars, and that there is no reddening.  It is because of these assumptions that BOT should NOT be used for checking the prime target of an observation (as it is unlikely to be a normal main sequence star). </w:t>
      </w:r>
    </w:p>
    <w:p w:rsidR="0093581C" w:rsidRDefault="0093581C" w:rsidP="0093581C">
      <w:pPr>
        <w:pStyle w:val="ListParagraph"/>
        <w:numPr>
          <w:ilvl w:val="0"/>
          <w:numId w:val="5"/>
        </w:numPr>
        <w:jc w:val="left"/>
      </w:pPr>
      <w:r>
        <w:t>For GALEX objects, there is no color information that can be used to derive a spectral type. Therefore all objects are assumed to be the worst case O5V type.</w:t>
      </w:r>
    </w:p>
    <w:p w:rsidR="0093581C" w:rsidRDefault="0093581C" w:rsidP="0093581C">
      <w:pPr>
        <w:pStyle w:val="ListParagraph"/>
        <w:numPr>
          <w:ilvl w:val="0"/>
          <w:numId w:val="5"/>
        </w:numPr>
        <w:jc w:val="left"/>
      </w:pPr>
      <w:r>
        <w:t xml:space="preserve">For 2MASS, there is no dependence on spectral type (what little dependence there is </w:t>
      </w:r>
      <w:proofErr w:type="spellStart"/>
      <w:r>
        <w:t>is</w:t>
      </w:r>
      <w:proofErr w:type="spellEnd"/>
      <w:r>
        <w:t xml:space="preserve"> included in the lookup table.</w:t>
      </w:r>
    </w:p>
    <w:p w:rsidR="0093581C" w:rsidRDefault="0093581C" w:rsidP="0093581C">
      <w:pPr>
        <w:pStyle w:val="Heading2"/>
      </w:pPr>
      <w:r>
        <w:t>Special Cases</w:t>
      </w:r>
    </w:p>
    <w:p w:rsidR="00C163AF" w:rsidRDefault="0093581C" w:rsidP="005D5194">
      <w:pPr>
        <w:pStyle w:val="ListParagraph"/>
        <w:numPr>
          <w:ilvl w:val="0"/>
          <w:numId w:val="6"/>
        </w:numPr>
        <w:jc w:val="left"/>
      </w:pPr>
      <w:r>
        <w:t>I</w:t>
      </w:r>
      <w:r w:rsidR="00C163AF">
        <w:t>f only 1 GSC2 magnitude</w:t>
      </w:r>
      <w:r>
        <w:t xml:space="preserve"> is available, BOT assumes the object is a worst case</w:t>
      </w:r>
      <w:r w:rsidR="00C163AF">
        <w:t xml:space="preserve"> O5V</w:t>
      </w:r>
      <w:r>
        <w:t xml:space="preserve"> type. The t</w:t>
      </w:r>
      <w:r w:rsidR="005D5194">
        <w:t>ool then uses</w:t>
      </w:r>
      <w:r>
        <w:t xml:space="preserve"> J-F=-0.42</w:t>
      </w:r>
      <w:r w:rsidR="00C163AF">
        <w:t xml:space="preserve"> </w:t>
      </w:r>
      <w:r w:rsidR="005D5194">
        <w:t xml:space="preserve">(corresponding to an O5V star) </w:t>
      </w:r>
      <w:r w:rsidR="00C163AF">
        <w:t>and determines V mag</w:t>
      </w:r>
      <w:r w:rsidR="005D5194">
        <w:t>nitude. This is done to</w:t>
      </w:r>
      <w:r w:rsidR="00C163AF">
        <w:t xml:space="preserve"> avoid </w:t>
      </w:r>
      <w:r w:rsidR="005D5194">
        <w:t>having a lot of “unknown” (</w:t>
      </w:r>
      <w:proofErr w:type="spellStart"/>
      <w:r w:rsidR="005D5194">
        <w:t>unprocessible</w:t>
      </w:r>
      <w:proofErr w:type="spellEnd"/>
      <w:r w:rsidR="005D5194">
        <w:t>) objects.</w:t>
      </w:r>
    </w:p>
    <w:p w:rsidR="005D5194" w:rsidRDefault="005D5194" w:rsidP="005D5194">
      <w:pPr>
        <w:pStyle w:val="ListParagraph"/>
        <w:numPr>
          <w:ilvl w:val="0"/>
          <w:numId w:val="6"/>
        </w:numPr>
        <w:jc w:val="left"/>
      </w:pPr>
      <w:r>
        <w:t xml:space="preserve">All objects with B-V&lt;+0.1 are assumed to be O5V stars. This is </w:t>
      </w:r>
      <w:r w:rsidRPr="005D5194">
        <w:rPr>
          <w:rFonts w:eastAsia="Calibri" w:cs="Times New Roman"/>
        </w:rPr>
        <w:t>due to the near degeneracy in the spectral type-color relation at the blue end</w:t>
      </w:r>
      <w:r>
        <w:t>.</w:t>
      </w:r>
    </w:p>
    <w:p w:rsidR="005D5194" w:rsidRDefault="005D5194" w:rsidP="005D5194">
      <w:pPr>
        <w:pStyle w:val="ListParagraph"/>
        <w:numPr>
          <w:ilvl w:val="0"/>
          <w:numId w:val="6"/>
        </w:numPr>
        <w:jc w:val="left"/>
      </w:pPr>
      <w:r w:rsidRPr="005D5194">
        <w:rPr>
          <w:rFonts w:eastAsia="Calibri" w:cs="Times New Roman"/>
        </w:rPr>
        <w:t xml:space="preserve">All objects above a </w:t>
      </w:r>
      <w:proofErr w:type="spellStart"/>
      <w:r w:rsidRPr="005D5194">
        <w:rPr>
          <w:rFonts w:eastAsia="Calibri" w:cs="Times New Roman"/>
        </w:rPr>
        <w:t>V</w:t>
      </w:r>
      <w:r w:rsidRPr="005D5194">
        <w:rPr>
          <w:rFonts w:eastAsia="Calibri" w:cs="Times New Roman"/>
          <w:vertAlign w:val="subscript"/>
        </w:rPr>
        <w:t>crit</w:t>
      </w:r>
      <w:proofErr w:type="spellEnd"/>
      <w:r w:rsidRPr="005D5194">
        <w:rPr>
          <w:rFonts w:eastAsia="Calibri" w:cs="Times New Roman"/>
        </w:rPr>
        <w:t xml:space="preserve"> value (spectral element depende</w:t>
      </w:r>
      <w:r>
        <w:t>nt) are assumed to be O5V stars. This is</w:t>
      </w:r>
      <w:r w:rsidRPr="005D5194">
        <w:rPr>
          <w:rFonts w:eastAsia="Calibri" w:cs="Times New Roman"/>
        </w:rPr>
        <w:t xml:space="preserve"> due to the lack of reddening information</w:t>
      </w:r>
      <w:r>
        <w:t>.</w:t>
      </w:r>
    </w:p>
    <w:p w:rsidR="005D5194" w:rsidRDefault="005D5194" w:rsidP="005D5194">
      <w:pPr>
        <w:pStyle w:val="Heading2"/>
      </w:pPr>
      <w:r>
        <w:t>Other Issues</w:t>
      </w:r>
    </w:p>
    <w:p w:rsidR="005D5194" w:rsidRDefault="005D5194" w:rsidP="005D5194">
      <w:pPr>
        <w:pStyle w:val="ListParagraph"/>
        <w:numPr>
          <w:ilvl w:val="0"/>
          <w:numId w:val="5"/>
        </w:numPr>
        <w:jc w:val="left"/>
      </w:pPr>
      <w:r>
        <w:t>For GSC2, the tool will adjust the color by the difference between the nominal error and the actual error (i.e. make the color bluer by [error - 0.28</w:t>
      </w:r>
      <w:r w:rsidRPr="005D5194">
        <w:rPr>
          <w:vertAlign w:val="superscript"/>
        </w:rPr>
        <w:t>m</w:t>
      </w:r>
      <w:r>
        <w:t>]) for those cases where the magnitude errors are large.</w:t>
      </w:r>
    </w:p>
    <w:p w:rsidR="00C163AF" w:rsidRDefault="00C163AF" w:rsidP="00D72003">
      <w:pPr>
        <w:pStyle w:val="ListParagraph"/>
        <w:numPr>
          <w:ilvl w:val="0"/>
          <w:numId w:val="5"/>
        </w:numPr>
        <w:jc w:val="left"/>
      </w:pPr>
      <w:r>
        <w:t>GSC2 objects with only</w:t>
      </w:r>
      <w:r w:rsidR="005D5194">
        <w:t xml:space="preserve"> an</w:t>
      </w:r>
      <w:r>
        <w:t xml:space="preserve"> N magnitude </w:t>
      </w:r>
      <w:r w:rsidR="005D5194">
        <w:t xml:space="preserve">are </w:t>
      </w:r>
      <w:r>
        <w:t>ignored</w:t>
      </w:r>
      <w:r w:rsidR="005D5194">
        <w:t xml:space="preserve">. These objects are </w:t>
      </w:r>
      <w:r>
        <w:t>either not real or extremely IR, s</w:t>
      </w:r>
      <w:r w:rsidR="005D5194">
        <w:t>o not relevant for UV detectors.</w:t>
      </w:r>
    </w:p>
    <w:p w:rsidR="00C163AF" w:rsidRDefault="00C163AF" w:rsidP="00D72003">
      <w:pPr>
        <w:pStyle w:val="ListParagraph"/>
        <w:numPr>
          <w:ilvl w:val="0"/>
          <w:numId w:val="5"/>
        </w:numPr>
        <w:jc w:val="left"/>
      </w:pPr>
      <w:r>
        <w:t>For COS</w:t>
      </w:r>
      <w:r w:rsidRPr="00D72003">
        <w:rPr>
          <w:rFonts w:eastAsia="Calibri" w:cs="Times New Roman"/>
        </w:rPr>
        <w:t xml:space="preserve"> ACQ/SEARCH mode, the search radius is further expanded to account for the motion of the telescope</w:t>
      </w:r>
      <w:r w:rsidR="005D5194" w:rsidRPr="00D72003">
        <w:rPr>
          <w:rFonts w:eastAsia="Calibri" w:cs="Times New Roman"/>
        </w:rPr>
        <w:t>.</w:t>
      </w:r>
    </w:p>
    <w:p w:rsidR="005D5194" w:rsidRDefault="005D5194" w:rsidP="00D72003">
      <w:pPr>
        <w:pStyle w:val="BodyNoIndent"/>
        <w:numPr>
          <w:ilvl w:val="0"/>
          <w:numId w:val="5"/>
        </w:numPr>
        <w:rPr>
          <w:color w:val="auto"/>
        </w:rPr>
      </w:pPr>
      <w:r>
        <w:rPr>
          <w:rFonts w:eastAsia="Calibri"/>
          <w:szCs w:val="24"/>
        </w:rPr>
        <w:lastRenderedPageBreak/>
        <w:t xml:space="preserve">For the </w:t>
      </w:r>
      <w:r w:rsidRPr="008D27E5">
        <w:rPr>
          <w:rFonts w:eastAsia="Calibri"/>
          <w:color w:val="auto"/>
          <w:szCs w:val="24"/>
        </w:rPr>
        <w:t xml:space="preserve">STIS/FUV, </w:t>
      </w:r>
      <w:r w:rsidRPr="008D27E5">
        <w:rPr>
          <w:color w:val="auto"/>
        </w:rPr>
        <w:t>there is a 4 arcsecond offset in the location of the aperture to account for the repeller wire when</w:t>
      </w:r>
      <w:r>
        <w:rPr>
          <w:color w:val="auto"/>
        </w:rPr>
        <w:t xml:space="preserve"> using the</w:t>
      </w:r>
      <w:r w:rsidRPr="008D27E5">
        <w:rPr>
          <w:color w:val="auto"/>
        </w:rPr>
        <w:t xml:space="preserve"> G140L or G140M spectral elements.</w:t>
      </w:r>
    </w:p>
    <w:p w:rsidR="00C163AF" w:rsidRPr="00D72003" w:rsidRDefault="00C163AF" w:rsidP="00D72003">
      <w:pPr>
        <w:pStyle w:val="ListParagraph"/>
        <w:numPr>
          <w:ilvl w:val="0"/>
          <w:numId w:val="5"/>
        </w:numPr>
        <w:jc w:val="left"/>
        <w:rPr>
          <w:rFonts w:eastAsia="Calibri" w:cs="Times New Roman"/>
          <w:szCs w:val="24"/>
        </w:rPr>
      </w:pPr>
      <w:r w:rsidRPr="00D72003">
        <w:rPr>
          <w:rFonts w:eastAsia="Calibri" w:cs="Times New Roman"/>
          <w:szCs w:val="24"/>
        </w:rPr>
        <w:t>The tool does not treat the background properly (i.e. remove the background prior to scaling for the object brightness, and then add it back in)</w:t>
      </w:r>
      <w:r w:rsidRPr="00D72003">
        <w:rPr>
          <w:szCs w:val="24"/>
        </w:rPr>
        <w:t xml:space="preserve"> for imaging observations; for spectroscopic observations,</w:t>
      </w:r>
      <w:r w:rsidRPr="00D72003">
        <w:rPr>
          <w:rFonts w:eastAsia="Calibri" w:cs="Times New Roman"/>
          <w:szCs w:val="24"/>
        </w:rPr>
        <w:t xml:space="preserve"> it does treat the</w:t>
      </w:r>
      <w:r w:rsidRPr="00D72003">
        <w:rPr>
          <w:szCs w:val="24"/>
        </w:rPr>
        <w:t xml:space="preserve"> background properly</w:t>
      </w:r>
      <w:r w:rsidRPr="00D72003">
        <w:rPr>
          <w:rFonts w:eastAsia="Calibri" w:cs="Times New Roman"/>
          <w:szCs w:val="24"/>
        </w:rPr>
        <w:t>. For cases where the source dominates the sky, the derived count rates will be a good match to the ETC.  However, in cases where the sky is comparable or greater than the source, the tool will underestimate the count rate (since it is scaling the background to the faint magnitude of the source).</w:t>
      </w:r>
    </w:p>
    <w:p w:rsidR="0093581C" w:rsidRDefault="0093581C" w:rsidP="00D72003">
      <w:pPr>
        <w:pStyle w:val="BodyNoIndent"/>
        <w:numPr>
          <w:ilvl w:val="0"/>
          <w:numId w:val="5"/>
        </w:numPr>
        <w:rPr>
          <w:color w:val="auto"/>
        </w:rPr>
      </w:pPr>
      <w:r>
        <w:rPr>
          <w:color w:val="auto"/>
        </w:rPr>
        <w:t>For GALEX, BOT uses the appropriate magnitude for the spectral element selected (e.g. FUV for COS/G140L) if available; if not available, the other magnitude is used.</w:t>
      </w:r>
    </w:p>
    <w:p w:rsidR="008D27E5" w:rsidRPr="00322E28" w:rsidRDefault="005D5194" w:rsidP="00D72003">
      <w:pPr>
        <w:pStyle w:val="ListParagraph"/>
        <w:numPr>
          <w:ilvl w:val="0"/>
          <w:numId w:val="5"/>
        </w:numPr>
        <w:jc w:val="left"/>
      </w:pPr>
      <w:r>
        <w:t xml:space="preserve">For </w:t>
      </w:r>
      <w:r w:rsidR="008D27E5">
        <w:t>WFC3/UVIS</w:t>
      </w:r>
      <w:r>
        <w:t>, o</w:t>
      </w:r>
      <w:r w:rsidR="008D27E5">
        <w:t>ne half of the detector (chip 2) has significant higher throughput in the UV</w:t>
      </w:r>
      <w:r w:rsidR="00D72003">
        <w:t xml:space="preserve"> (up to approximate 40%), while</w:t>
      </w:r>
      <w:r w:rsidR="008D27E5">
        <w:t xml:space="preserve"> the other has slightly higher (~10%) throughput in the optical.  For any given target, BOT takes the larger of the two count rates.</w:t>
      </w:r>
    </w:p>
    <w:p w:rsidR="004454BB" w:rsidRDefault="004454BB" w:rsidP="000C2E3D">
      <w:pPr>
        <w:jc w:val="left"/>
      </w:pPr>
    </w:p>
    <w:sectPr w:rsidR="004454BB" w:rsidSect="00445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182"/>
    <w:multiLevelType w:val="hybridMultilevel"/>
    <w:tmpl w:val="C96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4259"/>
    <w:multiLevelType w:val="hybridMultilevel"/>
    <w:tmpl w:val="3AA0817A"/>
    <w:lvl w:ilvl="0" w:tplc="24620D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20531"/>
    <w:multiLevelType w:val="hybridMultilevel"/>
    <w:tmpl w:val="719872EE"/>
    <w:lvl w:ilvl="0" w:tplc="ED24041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31E74"/>
    <w:multiLevelType w:val="hybridMultilevel"/>
    <w:tmpl w:val="E062D1D2"/>
    <w:lvl w:ilvl="0" w:tplc="942CF74C">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C45DA"/>
    <w:multiLevelType w:val="hybridMultilevel"/>
    <w:tmpl w:val="B69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92E7C"/>
    <w:multiLevelType w:val="hybridMultilevel"/>
    <w:tmpl w:val="EBE43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E3D"/>
    <w:rsid w:val="00014931"/>
    <w:rsid w:val="000229E5"/>
    <w:rsid w:val="00044BA3"/>
    <w:rsid w:val="00045627"/>
    <w:rsid w:val="00066A2E"/>
    <w:rsid w:val="000873B4"/>
    <w:rsid w:val="000A6BE4"/>
    <w:rsid w:val="000C2E3D"/>
    <w:rsid w:val="000C6127"/>
    <w:rsid w:val="000E5BA8"/>
    <w:rsid w:val="0012154A"/>
    <w:rsid w:val="001223B0"/>
    <w:rsid w:val="00136207"/>
    <w:rsid w:val="00174AB9"/>
    <w:rsid w:val="001F01C3"/>
    <w:rsid w:val="001F420D"/>
    <w:rsid w:val="0022486C"/>
    <w:rsid w:val="00224ACF"/>
    <w:rsid w:val="00227ED5"/>
    <w:rsid w:val="002947B0"/>
    <w:rsid w:val="002A00EF"/>
    <w:rsid w:val="002B4222"/>
    <w:rsid w:val="002B5E1D"/>
    <w:rsid w:val="002C08DB"/>
    <w:rsid w:val="002E0CF0"/>
    <w:rsid w:val="002E7651"/>
    <w:rsid w:val="00322E28"/>
    <w:rsid w:val="00350B4A"/>
    <w:rsid w:val="003A6421"/>
    <w:rsid w:val="003B1E3F"/>
    <w:rsid w:val="00420D1C"/>
    <w:rsid w:val="00421CCA"/>
    <w:rsid w:val="004266DC"/>
    <w:rsid w:val="004316DA"/>
    <w:rsid w:val="004454BB"/>
    <w:rsid w:val="00484622"/>
    <w:rsid w:val="004978A4"/>
    <w:rsid w:val="004E1DE2"/>
    <w:rsid w:val="00501CE0"/>
    <w:rsid w:val="005173A7"/>
    <w:rsid w:val="00572998"/>
    <w:rsid w:val="00591D5C"/>
    <w:rsid w:val="005A5D5D"/>
    <w:rsid w:val="005D43C6"/>
    <w:rsid w:val="005D5194"/>
    <w:rsid w:val="005E2A6B"/>
    <w:rsid w:val="005E4319"/>
    <w:rsid w:val="0061551A"/>
    <w:rsid w:val="00634B95"/>
    <w:rsid w:val="00661313"/>
    <w:rsid w:val="006D0D83"/>
    <w:rsid w:val="006D79DC"/>
    <w:rsid w:val="006E2577"/>
    <w:rsid w:val="00724991"/>
    <w:rsid w:val="00734805"/>
    <w:rsid w:val="00740C8B"/>
    <w:rsid w:val="00750936"/>
    <w:rsid w:val="00752B39"/>
    <w:rsid w:val="00785382"/>
    <w:rsid w:val="007A5A8C"/>
    <w:rsid w:val="008268A1"/>
    <w:rsid w:val="00855931"/>
    <w:rsid w:val="00875804"/>
    <w:rsid w:val="008D27E5"/>
    <w:rsid w:val="008D50BF"/>
    <w:rsid w:val="008D50F5"/>
    <w:rsid w:val="008D77B3"/>
    <w:rsid w:val="008F1DA0"/>
    <w:rsid w:val="008F2B10"/>
    <w:rsid w:val="00922A76"/>
    <w:rsid w:val="0093581C"/>
    <w:rsid w:val="00953285"/>
    <w:rsid w:val="0099431C"/>
    <w:rsid w:val="00997AC7"/>
    <w:rsid w:val="009A1BDA"/>
    <w:rsid w:val="009B1027"/>
    <w:rsid w:val="009C5303"/>
    <w:rsid w:val="009E47F2"/>
    <w:rsid w:val="00A5113D"/>
    <w:rsid w:val="00A54F90"/>
    <w:rsid w:val="00A904AE"/>
    <w:rsid w:val="00AB72FC"/>
    <w:rsid w:val="00AE1DE7"/>
    <w:rsid w:val="00B0686D"/>
    <w:rsid w:val="00B06D82"/>
    <w:rsid w:val="00B1301F"/>
    <w:rsid w:val="00B4587D"/>
    <w:rsid w:val="00B90FE3"/>
    <w:rsid w:val="00B951D4"/>
    <w:rsid w:val="00BA0924"/>
    <w:rsid w:val="00BA0B6F"/>
    <w:rsid w:val="00BB4542"/>
    <w:rsid w:val="00BF4DCE"/>
    <w:rsid w:val="00C12B7A"/>
    <w:rsid w:val="00C163AF"/>
    <w:rsid w:val="00C233AD"/>
    <w:rsid w:val="00C23A10"/>
    <w:rsid w:val="00C410B9"/>
    <w:rsid w:val="00C60C78"/>
    <w:rsid w:val="00C61EF7"/>
    <w:rsid w:val="00C6580E"/>
    <w:rsid w:val="00C87D90"/>
    <w:rsid w:val="00CD5E45"/>
    <w:rsid w:val="00CE448B"/>
    <w:rsid w:val="00D01195"/>
    <w:rsid w:val="00D16B26"/>
    <w:rsid w:val="00D72003"/>
    <w:rsid w:val="00D808B5"/>
    <w:rsid w:val="00D82003"/>
    <w:rsid w:val="00DB2E27"/>
    <w:rsid w:val="00DD3D76"/>
    <w:rsid w:val="00DD691B"/>
    <w:rsid w:val="00DE7848"/>
    <w:rsid w:val="00E034BE"/>
    <w:rsid w:val="00E40621"/>
    <w:rsid w:val="00E50BBB"/>
    <w:rsid w:val="00E620A5"/>
    <w:rsid w:val="00E66746"/>
    <w:rsid w:val="00E948C8"/>
    <w:rsid w:val="00EE663C"/>
    <w:rsid w:val="00F20350"/>
    <w:rsid w:val="00F34BC1"/>
    <w:rsid w:val="00F750AC"/>
    <w:rsid w:val="00F908ED"/>
    <w:rsid w:val="00FB711F"/>
    <w:rsid w:val="00FD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60"/>
        <w:ind w:left="720" w:hanging="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3D"/>
    <w:pPr>
      <w:ind w:left="0" w:firstLine="0"/>
    </w:pPr>
    <w:rPr>
      <w:rFonts w:ascii="Times New Roman" w:hAnsi="Times New Roman"/>
      <w:sz w:val="24"/>
    </w:rPr>
  </w:style>
  <w:style w:type="paragraph" w:styleId="Heading1">
    <w:name w:val="heading 1"/>
    <w:basedOn w:val="Normal"/>
    <w:next w:val="Normal"/>
    <w:link w:val="Heading1Char"/>
    <w:uiPriority w:val="9"/>
    <w:qFormat/>
    <w:rsid w:val="00014931"/>
    <w:pPr>
      <w:keepNext/>
      <w:keepLines/>
      <w:spacing w:before="480" w:after="0"/>
      <w:jc w:val="lef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14931"/>
    <w:pPr>
      <w:keepNext/>
      <w:keepLines/>
      <w:spacing w:before="200" w:after="0"/>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1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93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493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14931"/>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014931"/>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C233AD"/>
    <w:pPr>
      <w:ind w:left="720"/>
      <w:contextualSpacing/>
    </w:pPr>
  </w:style>
  <w:style w:type="paragraph" w:customStyle="1" w:styleId="BodyNoIndent">
    <w:name w:val="BodyNoIndent"/>
    <w:basedOn w:val="Normal"/>
    <w:rsid w:val="008D27E5"/>
    <w:pPr>
      <w:overflowPunct w:val="0"/>
      <w:autoSpaceDE w:val="0"/>
      <w:autoSpaceDN w:val="0"/>
      <w:adjustRightInd w:val="0"/>
      <w:spacing w:before="0" w:after="0" w:line="320" w:lineRule="atLeast"/>
      <w:jc w:val="left"/>
      <w:textAlignment w:val="baseline"/>
    </w:pPr>
    <w:rPr>
      <w:rFonts w:ascii="Times" w:eastAsia="Times New Roman" w:hAnsi="Times" w:cs="Times New Roman"/>
      <w:noProof/>
      <w:color w:val="000000"/>
      <w:szCs w:val="20"/>
    </w:rPr>
  </w:style>
</w:styles>
</file>

<file path=word/webSettings.xml><?xml version="1.0" encoding="utf-8"?>
<w:webSettings xmlns:r="http://schemas.openxmlformats.org/officeDocument/2006/relationships" xmlns:w="http://schemas.openxmlformats.org/wordprocessingml/2006/main">
  <w:divs>
    <w:div w:id="169032271">
      <w:bodyDiv w:val="1"/>
      <w:marLeft w:val="0"/>
      <w:marRight w:val="0"/>
      <w:marTop w:val="0"/>
      <w:marBottom w:val="0"/>
      <w:divBdr>
        <w:top w:val="none" w:sz="0" w:space="0" w:color="auto"/>
        <w:left w:val="none" w:sz="0" w:space="0" w:color="auto"/>
        <w:bottom w:val="none" w:sz="0" w:space="0" w:color="auto"/>
        <w:right w:val="none" w:sz="0" w:space="0" w:color="auto"/>
      </w:divBdr>
    </w:div>
    <w:div w:id="218713258">
      <w:bodyDiv w:val="1"/>
      <w:marLeft w:val="0"/>
      <w:marRight w:val="0"/>
      <w:marTop w:val="0"/>
      <w:marBottom w:val="0"/>
      <w:divBdr>
        <w:top w:val="none" w:sz="0" w:space="0" w:color="auto"/>
        <w:left w:val="none" w:sz="0" w:space="0" w:color="auto"/>
        <w:bottom w:val="none" w:sz="0" w:space="0" w:color="auto"/>
        <w:right w:val="none" w:sz="0" w:space="0" w:color="auto"/>
      </w:divBdr>
    </w:div>
    <w:div w:id="280458792">
      <w:bodyDiv w:val="1"/>
      <w:marLeft w:val="0"/>
      <w:marRight w:val="0"/>
      <w:marTop w:val="0"/>
      <w:marBottom w:val="0"/>
      <w:divBdr>
        <w:top w:val="none" w:sz="0" w:space="0" w:color="auto"/>
        <w:left w:val="none" w:sz="0" w:space="0" w:color="auto"/>
        <w:bottom w:val="none" w:sz="0" w:space="0" w:color="auto"/>
        <w:right w:val="none" w:sz="0" w:space="0" w:color="auto"/>
      </w:divBdr>
    </w:div>
    <w:div w:id="434711956">
      <w:bodyDiv w:val="1"/>
      <w:marLeft w:val="0"/>
      <w:marRight w:val="0"/>
      <w:marTop w:val="0"/>
      <w:marBottom w:val="0"/>
      <w:divBdr>
        <w:top w:val="none" w:sz="0" w:space="0" w:color="auto"/>
        <w:left w:val="none" w:sz="0" w:space="0" w:color="auto"/>
        <w:bottom w:val="none" w:sz="0" w:space="0" w:color="auto"/>
        <w:right w:val="none" w:sz="0" w:space="0" w:color="auto"/>
      </w:divBdr>
    </w:div>
    <w:div w:id="555706690">
      <w:bodyDiv w:val="1"/>
      <w:marLeft w:val="0"/>
      <w:marRight w:val="0"/>
      <w:marTop w:val="0"/>
      <w:marBottom w:val="0"/>
      <w:divBdr>
        <w:top w:val="none" w:sz="0" w:space="0" w:color="auto"/>
        <w:left w:val="none" w:sz="0" w:space="0" w:color="auto"/>
        <w:bottom w:val="none" w:sz="0" w:space="0" w:color="auto"/>
        <w:right w:val="none" w:sz="0" w:space="0" w:color="auto"/>
      </w:divBdr>
    </w:div>
    <w:div w:id="690495426">
      <w:bodyDiv w:val="1"/>
      <w:marLeft w:val="0"/>
      <w:marRight w:val="0"/>
      <w:marTop w:val="0"/>
      <w:marBottom w:val="0"/>
      <w:divBdr>
        <w:top w:val="none" w:sz="0" w:space="0" w:color="auto"/>
        <w:left w:val="none" w:sz="0" w:space="0" w:color="auto"/>
        <w:bottom w:val="none" w:sz="0" w:space="0" w:color="auto"/>
        <w:right w:val="none" w:sz="0" w:space="0" w:color="auto"/>
      </w:divBdr>
    </w:div>
    <w:div w:id="834107969">
      <w:bodyDiv w:val="1"/>
      <w:marLeft w:val="0"/>
      <w:marRight w:val="0"/>
      <w:marTop w:val="0"/>
      <w:marBottom w:val="0"/>
      <w:divBdr>
        <w:top w:val="none" w:sz="0" w:space="0" w:color="auto"/>
        <w:left w:val="none" w:sz="0" w:space="0" w:color="auto"/>
        <w:bottom w:val="none" w:sz="0" w:space="0" w:color="auto"/>
        <w:right w:val="none" w:sz="0" w:space="0" w:color="auto"/>
      </w:divBdr>
    </w:div>
    <w:div w:id="983966378">
      <w:bodyDiv w:val="1"/>
      <w:marLeft w:val="0"/>
      <w:marRight w:val="0"/>
      <w:marTop w:val="0"/>
      <w:marBottom w:val="0"/>
      <w:divBdr>
        <w:top w:val="none" w:sz="0" w:space="0" w:color="auto"/>
        <w:left w:val="none" w:sz="0" w:space="0" w:color="auto"/>
        <w:bottom w:val="none" w:sz="0" w:space="0" w:color="auto"/>
        <w:right w:val="none" w:sz="0" w:space="0" w:color="auto"/>
      </w:divBdr>
    </w:div>
    <w:div w:id="1273518239">
      <w:bodyDiv w:val="1"/>
      <w:marLeft w:val="0"/>
      <w:marRight w:val="0"/>
      <w:marTop w:val="0"/>
      <w:marBottom w:val="0"/>
      <w:divBdr>
        <w:top w:val="none" w:sz="0" w:space="0" w:color="auto"/>
        <w:left w:val="none" w:sz="0" w:space="0" w:color="auto"/>
        <w:bottom w:val="none" w:sz="0" w:space="0" w:color="auto"/>
        <w:right w:val="none" w:sz="0" w:space="0" w:color="auto"/>
      </w:divBdr>
    </w:div>
    <w:div w:id="1613659827">
      <w:bodyDiv w:val="1"/>
      <w:marLeft w:val="0"/>
      <w:marRight w:val="0"/>
      <w:marTop w:val="0"/>
      <w:marBottom w:val="0"/>
      <w:divBdr>
        <w:top w:val="none" w:sz="0" w:space="0" w:color="auto"/>
        <w:left w:val="none" w:sz="0" w:space="0" w:color="auto"/>
        <w:bottom w:val="none" w:sz="0" w:space="0" w:color="auto"/>
        <w:right w:val="none" w:sz="0" w:space="0" w:color="auto"/>
      </w:divBdr>
    </w:div>
    <w:div w:id="21322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38A68-E971-4AA8-A924-110B76AD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Downes</dc:creator>
  <cp:keywords/>
  <dc:description/>
  <cp:lastModifiedBy> Downes</cp:lastModifiedBy>
  <cp:revision>19</cp:revision>
  <dcterms:created xsi:type="dcterms:W3CDTF">2013-04-12T12:20:00Z</dcterms:created>
  <dcterms:modified xsi:type="dcterms:W3CDTF">2013-04-15T13:24:00Z</dcterms:modified>
</cp:coreProperties>
</file>